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6095" w14:textId="77777777" w:rsidR="00C67EC9" w:rsidRPr="00C67EC9" w:rsidRDefault="00C67EC9" w:rsidP="00C67EC9">
      <w:pPr>
        <w:pStyle w:val="ListParagraph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7EC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วันสากลว่าด้วยการใช้ยาอย่างสมเหตุสมผล </w:t>
      </w:r>
      <w:r w:rsidRPr="00C67EC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C67EC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กรกฎาคม </w:t>
      </w:r>
      <w:r w:rsidRPr="00C67EC9">
        <w:rPr>
          <w:rFonts w:ascii="TH SarabunPSK" w:hAnsi="TH SarabunPSK" w:cs="TH SarabunPSK"/>
          <w:b/>
          <w:bCs/>
          <w:sz w:val="32"/>
          <w:szCs w:val="32"/>
        </w:rPr>
        <w:t>2026</w:t>
      </w:r>
    </w:p>
    <w:p w14:paraId="675124F8" w14:textId="77777777" w:rsidR="00C67EC9" w:rsidRPr="00C67EC9" w:rsidRDefault="00C67EC9" w:rsidP="00C67EC9">
      <w:pPr>
        <w:spacing w:after="0" w:line="240" w:lineRule="auto"/>
        <w:ind w:left="-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7EC9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14:paraId="2F042D10" w14:textId="77777777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>องค์การอนามัยโลก (</w:t>
      </w:r>
      <w:r w:rsidRPr="00C67EC9">
        <w:rPr>
          <w:rFonts w:ascii="TH SarabunPSK" w:hAnsi="TH SarabunPSK" w:cs="TH SarabunPSK"/>
          <w:sz w:val="32"/>
          <w:szCs w:val="32"/>
        </w:rPr>
        <w:t xml:space="preserve">WHO) </w:t>
      </w:r>
      <w:r w:rsidRPr="00C67EC9">
        <w:rPr>
          <w:rFonts w:ascii="TH SarabunPSK" w:hAnsi="TH SarabunPSK" w:cs="TH SarabunPSK"/>
          <w:sz w:val="32"/>
          <w:szCs w:val="32"/>
          <w:cs/>
        </w:rPr>
        <w:t>และองค์กรระหว่างประเทศอื่น ๆ เน้นย้ำถึงการใช้ยาอย่างสมเหตุสมผลว่าเป็นรากฐานสำคัญของกลยุทธ์สุขภาพระดับโลก รวมถึงเป้าหมายการพัฒนาที่ยั่งยืน (</w:t>
      </w:r>
      <w:r w:rsidRPr="00C67EC9">
        <w:rPr>
          <w:rFonts w:ascii="TH SarabunPSK" w:hAnsi="TH SarabunPSK" w:cs="TH SarabunPSK"/>
          <w:sz w:val="32"/>
          <w:szCs w:val="32"/>
        </w:rPr>
        <w:t xml:space="preserve">SDGs) </w:t>
      </w:r>
      <w:r w:rsidRPr="00C67EC9">
        <w:rPr>
          <w:rFonts w:ascii="TH SarabunPSK" w:hAnsi="TH SarabunPSK" w:cs="TH SarabunPSK"/>
          <w:sz w:val="32"/>
          <w:szCs w:val="32"/>
          <w:cs/>
        </w:rPr>
        <w:t>ซึ่งเป็นการสนับสนุนที่สำคัญสำหรับการเข้าถึงบริการสุขภาพถ้วนหน้าและการลดโรคที่ป้องกันได้ (</w:t>
      </w:r>
      <w:r w:rsidRPr="00C67EC9">
        <w:rPr>
          <w:rFonts w:ascii="TH SarabunPSK" w:hAnsi="TH SarabunPSK" w:cs="TH SarabunPSK"/>
          <w:sz w:val="32"/>
          <w:szCs w:val="32"/>
        </w:rPr>
        <w:t>WHO 2015)</w:t>
      </w:r>
    </w:p>
    <w:p w14:paraId="4E419907" w14:textId="77777777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 xml:space="preserve">ยาเป็นสัดส่วนของค่าใช้จ่ายด้านสุขภาพระหว่าง </w:t>
      </w:r>
      <w:r w:rsidRPr="00C67EC9">
        <w:rPr>
          <w:rFonts w:ascii="TH SarabunPSK" w:hAnsi="TH SarabunPSK" w:cs="TH SarabunPSK"/>
          <w:sz w:val="32"/>
          <w:szCs w:val="32"/>
        </w:rPr>
        <w:t xml:space="preserve">20–60%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ในประเทศกำลังพัฒนา โดยประชากรสูงถึง </w:t>
      </w:r>
      <w:r w:rsidRPr="00C67EC9">
        <w:rPr>
          <w:rFonts w:ascii="TH SarabunPSK" w:hAnsi="TH SarabunPSK" w:cs="TH SarabunPSK"/>
          <w:sz w:val="32"/>
          <w:szCs w:val="32"/>
        </w:rPr>
        <w:t xml:space="preserve">90% </w:t>
      </w:r>
      <w:r w:rsidRPr="00C67EC9">
        <w:rPr>
          <w:rFonts w:ascii="TH SarabunPSK" w:hAnsi="TH SarabunPSK" w:cs="TH SarabunPSK"/>
          <w:sz w:val="32"/>
          <w:szCs w:val="32"/>
          <w:cs/>
        </w:rPr>
        <w:t>ต้องจ่ายเงินค่าซื้อยาเอง ทำให้ยาเป็นรายการใช้จ่ายครัวเรือนที่ใหญ่เป็นอันดับสองรองจากอาหาร ซึ่งหมายความว่ายาเป็นค่าใช้จ่ายหลักสำหรับบุคคลและประเทศ ดังนั้นจึงจำเป็นต้องใช้จ่ายอย่างคุ้มค่า และการใช้ยาอย่างสมเหตุสมผลช่วยให้เกิดความคุ้มค่านี้</w:t>
      </w:r>
    </w:p>
    <w:p w14:paraId="45986FB1" w14:textId="63C28923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 xml:space="preserve">จากการใช้ยาอย่างเหมาะสมสามารถประหยัดเงินได้มากกว่า </w:t>
      </w:r>
      <w:r w:rsidRPr="00C67EC9">
        <w:rPr>
          <w:rFonts w:ascii="TH SarabunPSK" w:hAnsi="TH SarabunPSK" w:cs="TH SarabunPSK"/>
          <w:sz w:val="32"/>
          <w:szCs w:val="32"/>
        </w:rPr>
        <w:t xml:space="preserve">500 </w:t>
      </w:r>
      <w:r w:rsidRPr="00C67EC9">
        <w:rPr>
          <w:rFonts w:ascii="TH SarabunPSK" w:hAnsi="TH SarabunPSK" w:cs="TH SarabunPSK"/>
          <w:sz w:val="32"/>
          <w:szCs w:val="32"/>
          <w:cs/>
        </w:rPr>
        <w:t>พันล้านดอลลาร์สหรัฐต่อปีทั่วโลก (</w:t>
      </w:r>
      <w:r w:rsidRPr="00C67EC9">
        <w:rPr>
          <w:rFonts w:ascii="TH SarabunPSK" w:hAnsi="TH SarabunPSK" w:cs="TH SarabunPSK"/>
          <w:sz w:val="32"/>
          <w:szCs w:val="32"/>
        </w:rPr>
        <w:t>IMS 2012)</w:t>
      </w:r>
    </w:p>
    <w:p w14:paraId="0401C474" w14:textId="77777777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 xml:space="preserve">อันตรายที่เกี่ยวข้องกับยาเกิดขึ้นบ่อยในทุกสถานพยาบาลทั่วโลก พบว่าอันตรายที่ป้องกันได้จากการใช้ยาเกิดขึ้นในผู้ป่วย </w:t>
      </w:r>
      <w:r w:rsidRPr="00C67EC9">
        <w:rPr>
          <w:rFonts w:ascii="TH SarabunPSK" w:hAnsi="TH SarabunPSK" w:cs="TH SarabunPSK"/>
          <w:sz w:val="32"/>
          <w:szCs w:val="32"/>
        </w:rPr>
        <w:t xml:space="preserve">7% </w:t>
      </w:r>
      <w:r w:rsidRPr="00C67EC9">
        <w:rPr>
          <w:rFonts w:ascii="TH SarabunPSK" w:hAnsi="TH SarabunPSK" w:cs="TH SarabunPSK"/>
          <w:sz w:val="32"/>
          <w:szCs w:val="32"/>
          <w:cs/>
        </w:rPr>
        <w:t>ในประเทศรายได้ต่ำและปานกลาง (</w:t>
      </w:r>
      <w:r w:rsidRPr="00C67EC9">
        <w:rPr>
          <w:rFonts w:ascii="TH SarabunPSK" w:hAnsi="TH SarabunPSK" w:cs="TH SarabunPSK"/>
          <w:sz w:val="32"/>
          <w:szCs w:val="32"/>
        </w:rPr>
        <w:t xml:space="preserve">LMICs)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67EC9">
        <w:rPr>
          <w:rFonts w:ascii="TH SarabunPSK" w:hAnsi="TH SarabunPSK" w:cs="TH SarabunPSK"/>
          <w:sz w:val="32"/>
          <w:szCs w:val="32"/>
        </w:rPr>
        <w:t xml:space="preserve">4% </w:t>
      </w:r>
      <w:r w:rsidRPr="00C67EC9">
        <w:rPr>
          <w:rFonts w:ascii="TH SarabunPSK" w:hAnsi="TH SarabunPSK" w:cs="TH SarabunPSK"/>
          <w:sz w:val="32"/>
          <w:szCs w:val="32"/>
          <w:cs/>
        </w:rPr>
        <w:t>ในประเทศรายได้สูง (</w:t>
      </w:r>
      <w:r w:rsidRPr="00C67EC9">
        <w:rPr>
          <w:rFonts w:ascii="TH SarabunPSK" w:hAnsi="TH SarabunPSK" w:cs="TH SarabunPSK"/>
          <w:sz w:val="32"/>
          <w:szCs w:val="32"/>
        </w:rPr>
        <w:t xml:space="preserve">HICs)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โดยอัตราสูงสุดพบในแอฟริกาและเอเชียตะวันออกเฉียงใต้ที่ </w:t>
      </w:r>
      <w:r w:rsidRPr="00C67EC9">
        <w:rPr>
          <w:rFonts w:ascii="TH SarabunPSK" w:hAnsi="TH SarabunPSK" w:cs="TH SarabunPSK"/>
          <w:sz w:val="32"/>
          <w:szCs w:val="32"/>
        </w:rPr>
        <w:t>9% (WHO 2024)</w:t>
      </w:r>
    </w:p>
    <w:p w14:paraId="52DA3FE0" w14:textId="36102605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>อันตรายที่ป้องกันได้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จากเหตุการไม่พึงประสงค์จากยา </w:t>
      </w:r>
      <w:r w:rsidRPr="00C67EC9">
        <w:rPr>
          <w:rFonts w:ascii="TH SarabunPSK" w:hAnsi="TH SarabunPSK" w:cs="TH SarabunPSK"/>
          <w:sz w:val="32"/>
          <w:szCs w:val="32"/>
          <w:cs/>
        </w:rPr>
        <w:t>ประมาณหนึ่งในสี่เป็นอันตรายรุนแรงหรืออาจถึงชีวิต (</w:t>
      </w:r>
      <w:r w:rsidRPr="00C67EC9">
        <w:rPr>
          <w:rFonts w:ascii="TH SarabunPSK" w:hAnsi="TH SarabunPSK" w:cs="TH SarabunPSK"/>
          <w:sz w:val="32"/>
          <w:szCs w:val="32"/>
        </w:rPr>
        <w:t>WHO 2024)</w:t>
      </w:r>
    </w:p>
    <w:p w14:paraId="19D154E3" w14:textId="3FCE32DC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>ปัญหาที่พบบ่อย ได้แก่ การใช้ยาต้านจุลชีพอย่างไม่เหมาะสมซึ่งนำไปสู่การดื้อยาต้านจุลชีพ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การใช้ยาสามัญอย่างไม่เต็มประสิทธิภาพ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จัดการการใช้ยาหลายชนิดไม่เหมาะสม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การใช้ยาสำหรับโรคเรื้อรัง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C67EC9">
        <w:rPr>
          <w:rFonts w:ascii="TH SarabunPSK" w:hAnsi="TH SarabunPSK" w:cs="TH SarabunPSK"/>
          <w:sz w:val="32"/>
          <w:szCs w:val="32"/>
          <w:cs/>
        </w:rPr>
        <w:t>ล่าช้า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7EC9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ผู้ป่วยโรคเรื้อรัง</w:t>
      </w:r>
      <w:r w:rsidRPr="00C67EC9">
        <w:rPr>
          <w:rFonts w:ascii="TH SarabunPSK" w:hAnsi="TH SarabunPSK" w:cs="TH SarabunPSK"/>
          <w:sz w:val="32"/>
          <w:szCs w:val="32"/>
          <w:cs/>
        </w:rPr>
        <w:t>ไม่รับประทานยาตามที่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</w:p>
    <w:p w14:paraId="0EB23A25" w14:textId="6481EF9F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>ผู้ป่วยสูงอายุมีความเสี่ยงต่ออันตรายจากยาเพิ่มขึ้น และเป็นกลุ่มที่มักได้รับการสั่งจ่ายยาหลายชนิด</w:t>
      </w:r>
    </w:p>
    <w:p w14:paraId="666D6153" w14:textId="4F852E80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>ยาที่มีส่วนทำให้อันตรายจากยามากที่สุด ได้แก่ ยาต้านจุลชีพ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ยาต้านจิตเภท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ยารักษาโรคหัวใจและหลอดเลือด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ยารักษาโรคทางเดินอาหาร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ยา</w:t>
      </w:r>
      <w:r w:rsidR="00DB2228">
        <w:rPr>
          <w:rFonts w:ascii="TH SarabunPSK" w:hAnsi="TH SarabunPSK" w:cs="TH SarabunPSK" w:hint="cs"/>
          <w:sz w:val="32"/>
          <w:szCs w:val="32"/>
          <w:cs/>
        </w:rPr>
        <w:t>โรคระบบต่อมไร้ท่อม ยานอ</w:t>
      </w:r>
      <w:r w:rsidRPr="00C67EC9">
        <w:rPr>
          <w:rFonts w:ascii="TH SarabunPSK" w:hAnsi="TH SarabunPSK" w:cs="TH SarabunPSK"/>
          <w:sz w:val="32"/>
          <w:szCs w:val="32"/>
          <w:cs/>
        </w:rPr>
        <w:t>นหลับ</w:t>
      </w:r>
      <w:r w:rsidRPr="00C67EC9">
        <w:rPr>
          <w:rFonts w:ascii="TH SarabunPSK" w:hAnsi="TH SarabunPSK" w:cs="TH SarabunPSK"/>
          <w:sz w:val="32"/>
          <w:szCs w:val="32"/>
        </w:rPr>
        <w:t xml:space="preserve">, </w:t>
      </w:r>
      <w:r w:rsidRPr="00C67EC9">
        <w:rPr>
          <w:rFonts w:ascii="TH SarabunPSK" w:hAnsi="TH SarabunPSK" w:cs="TH SarabunPSK"/>
          <w:sz w:val="32"/>
          <w:szCs w:val="32"/>
          <w:cs/>
        </w:rPr>
        <w:t>ยา</w:t>
      </w:r>
      <w:r w:rsidR="00DB2228">
        <w:rPr>
          <w:rFonts w:ascii="TH SarabunPSK" w:hAnsi="TH SarabunPSK" w:cs="TH SarabunPSK" w:hint="cs"/>
          <w:sz w:val="32"/>
          <w:szCs w:val="32"/>
          <w:cs/>
        </w:rPr>
        <w:t>สงบ</w:t>
      </w:r>
      <w:r w:rsidRPr="00C67EC9">
        <w:rPr>
          <w:rFonts w:ascii="TH SarabunPSK" w:hAnsi="TH SarabunPSK" w:cs="TH SarabunPSK"/>
          <w:sz w:val="32"/>
          <w:szCs w:val="32"/>
          <w:cs/>
        </w:rPr>
        <w:t>ประสาท และยาแก้อักเสบที่ไม่ใช่สเตียรอยด์</w:t>
      </w:r>
    </w:p>
    <w:p w14:paraId="0D3B9CB9" w14:textId="77777777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>การดื้อยาต้านจุลชีพ (</w:t>
      </w:r>
      <w:r w:rsidRPr="00C67EC9">
        <w:rPr>
          <w:rFonts w:ascii="TH SarabunPSK" w:hAnsi="TH SarabunPSK" w:cs="TH SarabunPSK"/>
          <w:sz w:val="32"/>
          <w:szCs w:val="32"/>
        </w:rPr>
        <w:t xml:space="preserve">AMR)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เป็นหนึ่งในภัยคุกคามด้านสาธารณสุขและการพัฒนาระดับโลกที่สำคัญ โดยประมาณว่าการดื้อยาต้านจุลชีพแบคทีเรียเป็นสาเหตุโดยตรงของการเสียชีวิต </w:t>
      </w:r>
      <w:r w:rsidRPr="00C67EC9">
        <w:rPr>
          <w:rFonts w:ascii="TH SarabunPSK" w:hAnsi="TH SarabunPSK" w:cs="TH SarabunPSK"/>
          <w:sz w:val="32"/>
          <w:szCs w:val="32"/>
        </w:rPr>
        <w:t xml:space="preserve">1.27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ล้านรายทั่วโลกในปี </w:t>
      </w:r>
      <w:r w:rsidRPr="00C67EC9">
        <w:rPr>
          <w:rFonts w:ascii="TH SarabunPSK" w:hAnsi="TH SarabunPSK" w:cs="TH SarabunPSK"/>
          <w:sz w:val="32"/>
          <w:szCs w:val="32"/>
        </w:rPr>
        <w:t xml:space="preserve">2019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และมีส่วนเกี่ยวข้องกับการเสียชีวิต </w:t>
      </w:r>
      <w:r w:rsidRPr="00C67EC9">
        <w:rPr>
          <w:rFonts w:ascii="TH SarabunPSK" w:hAnsi="TH SarabunPSK" w:cs="TH SarabunPSK"/>
          <w:sz w:val="32"/>
          <w:szCs w:val="32"/>
        </w:rPr>
        <w:t xml:space="preserve">4.95 </w:t>
      </w:r>
      <w:r w:rsidRPr="00C67EC9">
        <w:rPr>
          <w:rFonts w:ascii="TH SarabunPSK" w:hAnsi="TH SarabunPSK" w:cs="TH SarabunPSK"/>
          <w:sz w:val="32"/>
          <w:szCs w:val="32"/>
          <w:cs/>
        </w:rPr>
        <w:t>ล้านราย (</w:t>
      </w:r>
      <w:r w:rsidRPr="00C67EC9">
        <w:rPr>
          <w:rFonts w:ascii="TH SarabunPSK" w:hAnsi="TH SarabunPSK" w:cs="TH SarabunPSK"/>
          <w:sz w:val="32"/>
          <w:szCs w:val="32"/>
        </w:rPr>
        <w:t>WHO 2025)</w:t>
      </w:r>
    </w:p>
    <w:p w14:paraId="42F82A71" w14:textId="77777777" w:rsidR="00C67EC9" w:rsidRP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 xml:space="preserve">นอกจากการเสียชีวิตและความพิการแล้ว การดื้อยาต้านจุลชีพยังมีต้นทุนทางเศรษฐกิจสูง ธนาคารโลกประเมินว่าการดื้อยาต้านจุลชีพอาจทำให้เกิดค่าใช้จ่ายด้านสุขภาพเพิ่มเติมถึง </w:t>
      </w:r>
      <w:r w:rsidRPr="00C67EC9">
        <w:rPr>
          <w:rFonts w:ascii="TH SarabunPSK" w:hAnsi="TH SarabunPSK" w:cs="TH SarabunPSK"/>
          <w:sz w:val="32"/>
          <w:szCs w:val="32"/>
        </w:rPr>
        <w:t xml:space="preserve">1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ล้านล้านดอลลาร์สหรัฐภายในปี </w:t>
      </w:r>
      <w:r w:rsidRPr="00C67EC9">
        <w:rPr>
          <w:rFonts w:ascii="TH SarabunPSK" w:hAnsi="TH SarabunPSK" w:cs="TH SarabunPSK"/>
          <w:sz w:val="32"/>
          <w:szCs w:val="32"/>
        </w:rPr>
        <w:t xml:space="preserve">2050 </w:t>
      </w:r>
      <w:r w:rsidRPr="00C67EC9">
        <w:rPr>
          <w:rFonts w:ascii="TH SarabunPSK" w:hAnsi="TH SarabunPSK" w:cs="TH SarabunPSK"/>
          <w:sz w:val="32"/>
          <w:szCs w:val="32"/>
          <w:cs/>
        </w:rPr>
        <w:t>และสูญเสียผลิตภัณฑ์มวลรวมในประเทศ (</w:t>
      </w:r>
      <w:r w:rsidRPr="00C67EC9">
        <w:rPr>
          <w:rFonts w:ascii="TH SarabunPSK" w:hAnsi="TH SarabunPSK" w:cs="TH SarabunPSK"/>
          <w:sz w:val="32"/>
          <w:szCs w:val="32"/>
        </w:rPr>
        <w:t xml:space="preserve">GDP)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C67EC9">
        <w:rPr>
          <w:rFonts w:ascii="TH SarabunPSK" w:hAnsi="TH SarabunPSK" w:cs="TH SarabunPSK"/>
          <w:sz w:val="32"/>
          <w:szCs w:val="32"/>
        </w:rPr>
        <w:t xml:space="preserve">1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ล้านล้านถึง </w:t>
      </w:r>
      <w:r w:rsidRPr="00C67EC9">
        <w:rPr>
          <w:rFonts w:ascii="TH SarabunPSK" w:hAnsi="TH SarabunPSK" w:cs="TH SarabunPSK"/>
          <w:sz w:val="32"/>
          <w:szCs w:val="32"/>
        </w:rPr>
        <w:t xml:space="preserve">3.4 </w:t>
      </w:r>
      <w:r w:rsidRPr="00C67EC9">
        <w:rPr>
          <w:rFonts w:ascii="TH SarabunPSK" w:hAnsi="TH SarabunPSK" w:cs="TH SarabunPSK"/>
          <w:sz w:val="32"/>
          <w:szCs w:val="32"/>
          <w:cs/>
        </w:rPr>
        <w:t xml:space="preserve">ล้านล้านดอลลาร์สหรัฐต่อปีภายในปี </w:t>
      </w:r>
      <w:r w:rsidRPr="00C67EC9">
        <w:rPr>
          <w:rFonts w:ascii="TH SarabunPSK" w:hAnsi="TH SarabunPSK" w:cs="TH SarabunPSK"/>
          <w:sz w:val="32"/>
          <w:szCs w:val="32"/>
        </w:rPr>
        <w:t>2030 (WHO 2025)</w:t>
      </w:r>
    </w:p>
    <w:p w14:paraId="45810499" w14:textId="083CBA44" w:rsidR="00C67EC9" w:rsidRPr="00C67EC9" w:rsidRDefault="00DB2228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จากการประเมินผลกระทบ</w:t>
      </w:r>
      <w:r w:rsidR="00C67EC9" w:rsidRPr="00C67EC9">
        <w:rPr>
          <w:rFonts w:ascii="TH SarabunPSK" w:hAnsi="TH SarabunPSK" w:cs="TH SarabunPSK"/>
          <w:sz w:val="32"/>
          <w:szCs w:val="32"/>
          <w:cs/>
        </w:rPr>
        <w:t>ในสหรัฐอเมริกา ศูนย์ควบคุมและป้องกันโรค (</w:t>
      </w:r>
      <w:r w:rsidR="00C67EC9" w:rsidRPr="00C67EC9">
        <w:rPr>
          <w:rFonts w:ascii="TH SarabunPSK" w:hAnsi="TH SarabunPSK" w:cs="TH SarabunPSK"/>
          <w:sz w:val="32"/>
          <w:szCs w:val="32"/>
        </w:rPr>
        <w:t xml:space="preserve">CDC) </w:t>
      </w:r>
      <w:r w:rsidR="00C67EC9" w:rsidRPr="00C67EC9">
        <w:rPr>
          <w:rFonts w:ascii="TH SarabunPSK" w:hAnsi="TH SarabunPSK" w:cs="TH SarabunPSK"/>
          <w:sz w:val="32"/>
          <w:szCs w:val="32"/>
          <w:cs/>
        </w:rPr>
        <w:t xml:space="preserve">และผู้เชี่ยวชาญจากมหาวิทยาลัยยูทาห์ คณะแพทยศาสตร์ ประเมินว่าการรักษาภัยคุกคามจากการดื้อยาต้านจุลชีพมีค่าใช้จ่ายด้านสุขภาพมากกว่า </w:t>
      </w:r>
      <w:r w:rsidR="00C67EC9" w:rsidRPr="00C67EC9">
        <w:rPr>
          <w:rFonts w:ascii="TH SarabunPSK" w:hAnsi="TH SarabunPSK" w:cs="TH SarabunPSK"/>
          <w:sz w:val="32"/>
          <w:szCs w:val="32"/>
        </w:rPr>
        <w:t xml:space="preserve">4.6 </w:t>
      </w:r>
      <w:r w:rsidR="00C67EC9" w:rsidRPr="00C67EC9">
        <w:rPr>
          <w:rFonts w:ascii="TH SarabunPSK" w:hAnsi="TH SarabunPSK" w:cs="TH SarabunPSK"/>
          <w:sz w:val="32"/>
          <w:szCs w:val="32"/>
          <w:cs/>
        </w:rPr>
        <w:t>พันล้านดอลลาร์สหรัฐต่อปี (</w:t>
      </w:r>
      <w:r w:rsidR="00C67EC9" w:rsidRPr="00C67EC9">
        <w:rPr>
          <w:rFonts w:ascii="TH SarabunPSK" w:hAnsi="TH SarabunPSK" w:cs="TH SarabunPSK"/>
          <w:sz w:val="32"/>
          <w:szCs w:val="32"/>
        </w:rPr>
        <w:t>WHO 2024)</w:t>
      </w:r>
    </w:p>
    <w:p w14:paraId="019A295E" w14:textId="77777777" w:rsidR="00C67EC9" w:rsidRDefault="00C67EC9" w:rsidP="00C67EC9">
      <w:pPr>
        <w:numPr>
          <w:ilvl w:val="0"/>
          <w:numId w:val="13"/>
        </w:num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  <w:r w:rsidRPr="00C67EC9">
        <w:rPr>
          <w:rFonts w:ascii="TH SarabunPSK" w:hAnsi="TH SarabunPSK" w:cs="TH SarabunPSK"/>
          <w:sz w:val="32"/>
          <w:szCs w:val="32"/>
          <w:cs/>
        </w:rPr>
        <w:t xml:space="preserve">การใช้ยาอย่างสมเหตุสมผลรวมถึงการให้ความรู้แก่ผู้ป่วยเกี่ยวกับการใช้ยาที่ถูกต้อง เช่น ความสำคัญของการรับประทานยาครบตามที่แพทย์สั่งหรือปฏิบัติตามคำแนะนำการใช้ยา </w:t>
      </w:r>
      <w:r w:rsidRPr="00C67EC9">
        <w:rPr>
          <w:rFonts w:ascii="TH SarabunPSK" w:hAnsi="TH SarabunPSK" w:cs="TH SarabunPSK"/>
          <w:sz w:val="32"/>
          <w:szCs w:val="32"/>
          <w:cs/>
        </w:rPr>
        <w:lastRenderedPageBreak/>
        <w:t>การให้ความรู้แก่ผู้ป่วยช่วยให้ผู้ป่วยปฏิบัติตามการใช้ยาได้ดีขึ้นและเข้าใจวิธีการจัดการสุขภาพของตนเอง ซึ่งส่งผลดีโดยตรงต่อสุขภาพของประชาชน (</w:t>
      </w:r>
      <w:r w:rsidRPr="00C67EC9">
        <w:rPr>
          <w:rFonts w:ascii="TH SarabunPSK" w:hAnsi="TH SarabunPSK" w:cs="TH SarabunPSK"/>
          <w:sz w:val="32"/>
          <w:szCs w:val="32"/>
        </w:rPr>
        <w:t>WHO 2017)</w:t>
      </w:r>
    </w:p>
    <w:p w14:paraId="02E75B5A" w14:textId="77777777" w:rsidR="00C67EC9" w:rsidRPr="00C67EC9" w:rsidRDefault="00C67EC9" w:rsidP="00C67EC9">
      <w:pPr>
        <w:spacing w:after="0" w:line="240" w:lineRule="auto"/>
        <w:ind w:left="180"/>
        <w:jc w:val="both"/>
        <w:rPr>
          <w:rFonts w:ascii="TH SarabunPSK" w:hAnsi="TH SarabunPSK" w:cs="TH SarabunPSK"/>
          <w:sz w:val="32"/>
          <w:szCs w:val="32"/>
        </w:rPr>
      </w:pPr>
    </w:p>
    <w:p w14:paraId="49D7F746" w14:textId="0256C77D" w:rsidR="00C67EC9" w:rsidRPr="00C67EC9" w:rsidRDefault="00C67EC9" w:rsidP="00C67EC9">
      <w:pPr>
        <w:ind w:left="180"/>
        <w:jc w:val="both"/>
        <w:rPr>
          <w:sz w:val="20"/>
          <w:szCs w:val="24"/>
        </w:rPr>
      </w:pPr>
      <w:r w:rsidRPr="00C67EC9">
        <w:rPr>
          <w:sz w:val="20"/>
          <w:szCs w:val="24"/>
          <w:vertAlign w:val="superscript"/>
        </w:rPr>
        <w:footnoteRef/>
      </w:r>
      <w:r w:rsidRPr="00C67EC9">
        <w:rPr>
          <w:sz w:val="20"/>
          <w:szCs w:val="24"/>
        </w:rPr>
        <w:t xml:space="preserve"> Murray CJ, Ikuta KS, Sharara F, </w:t>
      </w:r>
      <w:proofErr w:type="spellStart"/>
      <w:r w:rsidRPr="00C67EC9">
        <w:rPr>
          <w:sz w:val="20"/>
          <w:szCs w:val="24"/>
        </w:rPr>
        <w:t>Swetschinski</w:t>
      </w:r>
      <w:proofErr w:type="spellEnd"/>
      <w:r w:rsidRPr="00C67EC9">
        <w:rPr>
          <w:sz w:val="20"/>
          <w:szCs w:val="24"/>
        </w:rPr>
        <w:t xml:space="preserve"> L, Aguilar GR, Gray A, et al. Global burden of bacterial antimicrobial resistance in 2019: a systematic analysis. </w:t>
      </w:r>
      <w:r w:rsidRPr="00C67EC9">
        <w:rPr>
          <w:i/>
          <w:iCs/>
          <w:sz w:val="20"/>
          <w:szCs w:val="24"/>
        </w:rPr>
        <w:t>The Lancet</w:t>
      </w:r>
      <w:r w:rsidRPr="00C67EC9">
        <w:rPr>
          <w:sz w:val="20"/>
          <w:szCs w:val="24"/>
        </w:rPr>
        <w:t>. 2022;399(10325):629-55.</w:t>
      </w:r>
    </w:p>
    <w:sectPr w:rsidR="00C67EC9" w:rsidRPr="00C67EC9" w:rsidSect="00C67EC9">
      <w:pgSz w:w="12240" w:h="15840"/>
      <w:pgMar w:top="810" w:right="99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22B5E"/>
    <w:multiLevelType w:val="multilevel"/>
    <w:tmpl w:val="EAE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6D4973"/>
    <w:multiLevelType w:val="hybridMultilevel"/>
    <w:tmpl w:val="F66C43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954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127417348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90980490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7395458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88768961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58795603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172860152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66224533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19970670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106456805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54614279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 w16cid:durableId="197906878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26152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C9"/>
    <w:rsid w:val="00206DE4"/>
    <w:rsid w:val="008D3DD5"/>
    <w:rsid w:val="00C67EC9"/>
    <w:rsid w:val="00CC66CE"/>
    <w:rsid w:val="00D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3508"/>
  <w15:chartTrackingRefBased/>
  <w15:docId w15:val="{25AEEDC3-6663-4C2E-9149-8137EC29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EC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EC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EC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7E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7E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1496-BB4F-41C2-A2CE-7C10965C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PENKARN KANJANARAT</dc:creator>
  <cp:keywords/>
  <dc:description/>
  <cp:lastModifiedBy>Lynn Weekes</cp:lastModifiedBy>
  <cp:revision>2</cp:revision>
  <dcterms:created xsi:type="dcterms:W3CDTF">2026-06-02T01:25:00Z</dcterms:created>
  <dcterms:modified xsi:type="dcterms:W3CDTF">2026-06-02T01:25:00Z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df6401ee-b8e4-45bb-bac5-34748db24244</vt:lpwstr>
  </property>
</Properties>
</file>