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E4963B" w14:textId="77777777" w:rsidR="0047607D" w:rsidRPr="008E2A70" w:rsidRDefault="008E2A70" w:rsidP="008E2A70">
      <w:pPr>
        <w:jc w:val="center"/>
        <w:rPr>
          <w:rFonts w:ascii="Aptos" w:hAnsi="Aptos"/>
          <w:b/>
          <w:bCs/>
        </w:rPr>
      </w:pPr>
      <w:r w:rsidRPr="008E2A70">
        <w:rPr>
          <w:rFonts w:ascii="Aptos" w:hAnsi="Aptos"/>
          <w:b/>
          <w:bCs/>
        </w:rPr>
        <w:t>Día Internacional del Uso Racional de los Medicamentos 2025</w:t>
      </w:r>
    </w:p>
    <w:p w14:paraId="49642CCD" w14:textId="77777777" w:rsidR="0047607D" w:rsidRPr="008E2A70" w:rsidRDefault="008E2A70" w:rsidP="008E2A70">
      <w:pPr>
        <w:jc w:val="center"/>
        <w:rPr>
          <w:rFonts w:ascii="Aptos" w:hAnsi="Aptos"/>
          <w:b/>
          <w:bCs/>
        </w:rPr>
      </w:pPr>
      <w:r w:rsidRPr="008E2A70">
        <w:rPr>
          <w:rFonts w:ascii="Aptos" w:hAnsi="Aptos"/>
          <w:b/>
          <w:bCs/>
        </w:rPr>
        <w:t>DATOS IMPORTANTES</w:t>
      </w:r>
    </w:p>
    <w:p w14:paraId="2317865F" w14:textId="77777777" w:rsidR="0047607D" w:rsidRPr="008E2A70" w:rsidRDefault="008E2A70" w:rsidP="008E2A70">
      <w:pPr>
        <w:pStyle w:val="ListParagraph"/>
        <w:numPr>
          <w:ilvl w:val="0"/>
          <w:numId w:val="10"/>
        </w:numPr>
        <w:spacing w:after="80"/>
        <w:ind w:left="360"/>
        <w:contextualSpacing w:val="0"/>
        <w:rPr>
          <w:rFonts w:ascii="Aptos" w:hAnsi="Aptos"/>
        </w:rPr>
      </w:pPr>
      <w:r w:rsidRPr="008E2A70">
        <w:rPr>
          <w:rFonts w:ascii="Aptos" w:hAnsi="Aptos"/>
        </w:rPr>
        <w:t xml:space="preserve">La Organización Mundial de la Salud (OMS) y otros organismos internacionales destacan el uso racional de los medicamentos como piedra angular de las estrategias de salud </w:t>
      </w:r>
      <w:r w:rsidRPr="008E2A70">
        <w:rPr>
          <w:rFonts w:ascii="Aptos" w:hAnsi="Aptos"/>
        </w:rPr>
        <w:t>global, incluyendo los Objetivos de Desarrollo Sostenible (ODS). Es un apoyo fundamental para la cobertura sanitaria universal y la reducción de enfermedades prevenibles. (Organización Mundial de la Salud, 2015)</w:t>
      </w:r>
    </w:p>
    <w:p w14:paraId="588AB271" w14:textId="77777777" w:rsidR="0047607D" w:rsidRPr="008E2A70" w:rsidRDefault="008E2A70" w:rsidP="008E2A70">
      <w:pPr>
        <w:pStyle w:val="ListParagraph"/>
        <w:numPr>
          <w:ilvl w:val="0"/>
          <w:numId w:val="10"/>
        </w:numPr>
        <w:spacing w:after="80"/>
        <w:ind w:left="360"/>
        <w:contextualSpacing w:val="0"/>
        <w:rPr>
          <w:rFonts w:ascii="Aptos" w:hAnsi="Aptos"/>
        </w:rPr>
      </w:pPr>
      <w:r w:rsidRPr="008E2A70">
        <w:rPr>
          <w:rFonts w:ascii="Aptos" w:hAnsi="Aptos"/>
        </w:rPr>
        <w:t>Los medicamentos representan entre el 20 % y el 60 % del gasto en salud en los países en desarrollo, y hasta el 90 % de la población los compra mediante pagos directos, siendo los medicamentos el mayor gasto familiar después de los alimentos. Esto convierte a los medicamentos en un gasto importante tanto para individuos como para países. Es esencial obtener un buen valor por este gasto. El uso racional de medicamentos lo garantiza.</w:t>
      </w:r>
    </w:p>
    <w:p w14:paraId="5BEC8146" w14:textId="77777777" w:rsidR="0047607D" w:rsidRPr="008E2A70" w:rsidRDefault="008E2A70" w:rsidP="008E2A70">
      <w:pPr>
        <w:pStyle w:val="ListParagraph"/>
        <w:numPr>
          <w:ilvl w:val="0"/>
          <w:numId w:val="10"/>
        </w:numPr>
        <w:spacing w:after="80"/>
        <w:ind w:left="360"/>
        <w:contextualSpacing w:val="0"/>
        <w:rPr>
          <w:rFonts w:ascii="Aptos" w:hAnsi="Aptos"/>
        </w:rPr>
      </w:pPr>
      <w:r w:rsidRPr="008E2A70">
        <w:rPr>
          <w:rFonts w:ascii="Aptos" w:hAnsi="Aptos"/>
        </w:rPr>
        <w:t xml:space="preserve">Se </w:t>
      </w:r>
      <w:proofErr w:type="spellStart"/>
      <w:r w:rsidRPr="008E2A70">
        <w:rPr>
          <w:rFonts w:ascii="Aptos" w:hAnsi="Aptos"/>
        </w:rPr>
        <w:t>pueden</w:t>
      </w:r>
      <w:proofErr w:type="spellEnd"/>
      <w:r w:rsidRPr="008E2A70">
        <w:rPr>
          <w:rFonts w:ascii="Aptos" w:hAnsi="Aptos"/>
        </w:rPr>
        <w:t xml:space="preserve"> </w:t>
      </w:r>
      <w:proofErr w:type="spellStart"/>
      <w:r w:rsidRPr="008E2A70">
        <w:rPr>
          <w:rFonts w:ascii="Aptos" w:hAnsi="Aptos"/>
        </w:rPr>
        <w:t>ahorrar</w:t>
      </w:r>
      <w:proofErr w:type="spellEnd"/>
      <w:r w:rsidRPr="008E2A70">
        <w:rPr>
          <w:rFonts w:ascii="Aptos" w:hAnsi="Aptos"/>
        </w:rPr>
        <w:t xml:space="preserve"> </w:t>
      </w:r>
      <w:proofErr w:type="spellStart"/>
      <w:r w:rsidRPr="008E2A70">
        <w:rPr>
          <w:rFonts w:ascii="Aptos" w:hAnsi="Aptos"/>
        </w:rPr>
        <w:t>más</w:t>
      </w:r>
      <w:proofErr w:type="spellEnd"/>
      <w:r w:rsidRPr="008E2A70">
        <w:rPr>
          <w:rFonts w:ascii="Aptos" w:hAnsi="Aptos"/>
        </w:rPr>
        <w:t xml:space="preserve"> de 500 mil millones de dólares estadounidenses al año mediante un uso más adecuado de los medicamentos en todo el mundo. (IMS 2012)</w:t>
      </w:r>
    </w:p>
    <w:p w14:paraId="1B284DAC" w14:textId="77777777" w:rsidR="0047607D" w:rsidRPr="008E2A70" w:rsidRDefault="008E2A70" w:rsidP="008E2A70">
      <w:pPr>
        <w:pStyle w:val="ListParagraph"/>
        <w:numPr>
          <w:ilvl w:val="0"/>
          <w:numId w:val="10"/>
        </w:numPr>
        <w:spacing w:after="80"/>
        <w:ind w:left="360"/>
        <w:contextualSpacing w:val="0"/>
        <w:rPr>
          <w:rFonts w:ascii="Aptos" w:hAnsi="Aptos"/>
        </w:rPr>
      </w:pPr>
      <w:r w:rsidRPr="008E2A70">
        <w:rPr>
          <w:rFonts w:ascii="Aptos" w:hAnsi="Aptos"/>
        </w:rPr>
        <w:t>El daño relacionado con medicamentos es demasiado común en todos los entornos de atención sanitaria a nivel mundial. Se encontró daño prevenible atribuido al uso de medicamentos en el 7 % de los pacientes de países de ingresos bajos y medianos (PIBM) y en el 4 % de pacientes de países de ingresos altos (PIA). Las tasas más altas se encontraron en África y el Sudeste Asiático con un 9 %. (OMS 2024)</w:t>
      </w:r>
    </w:p>
    <w:p w14:paraId="743880E5" w14:textId="77777777" w:rsidR="0047607D" w:rsidRPr="008E2A70" w:rsidRDefault="008E2A70" w:rsidP="008E2A70">
      <w:pPr>
        <w:pStyle w:val="ListParagraph"/>
        <w:numPr>
          <w:ilvl w:val="0"/>
          <w:numId w:val="10"/>
        </w:numPr>
        <w:spacing w:after="80"/>
        <w:ind w:left="360"/>
        <w:contextualSpacing w:val="0"/>
        <w:rPr>
          <w:rFonts w:ascii="Aptos" w:hAnsi="Aptos"/>
        </w:rPr>
      </w:pPr>
      <w:r w:rsidRPr="008E2A70">
        <w:rPr>
          <w:rFonts w:ascii="Aptos" w:hAnsi="Aptos"/>
        </w:rPr>
        <w:t>Una cuarta parte del daño prevenible relacionado con medicamentos es grave o potencialmente mortal.</w:t>
      </w:r>
    </w:p>
    <w:p w14:paraId="36B5C0FC" w14:textId="77777777" w:rsidR="0047607D" w:rsidRPr="008E2A70" w:rsidRDefault="008E2A70" w:rsidP="008E2A70">
      <w:pPr>
        <w:pStyle w:val="ListParagraph"/>
        <w:numPr>
          <w:ilvl w:val="0"/>
          <w:numId w:val="10"/>
        </w:numPr>
        <w:spacing w:after="80"/>
        <w:ind w:left="360"/>
        <w:contextualSpacing w:val="0"/>
        <w:rPr>
          <w:rFonts w:ascii="Aptos" w:hAnsi="Aptos"/>
        </w:rPr>
      </w:pPr>
      <w:r w:rsidRPr="008E2A70">
        <w:rPr>
          <w:rFonts w:ascii="Aptos" w:hAnsi="Aptos"/>
        </w:rPr>
        <w:t>Los problemas comunes incluyen: uso inapropiado de antimicrobianos que conduce a resistencia, uso subóptimo de medicamentos genéricos, mala gestión de múltiples medicamentos, uso tardío o insuficiente de medicamentos para enfermedades crónicas, y pacientes que no siguen las instrucciones.</w:t>
      </w:r>
    </w:p>
    <w:p w14:paraId="75B95DAF" w14:textId="77777777" w:rsidR="0047607D" w:rsidRPr="008E2A70" w:rsidRDefault="008E2A70" w:rsidP="008E2A70">
      <w:pPr>
        <w:pStyle w:val="ListParagraph"/>
        <w:numPr>
          <w:ilvl w:val="0"/>
          <w:numId w:val="10"/>
        </w:numPr>
        <w:spacing w:after="80"/>
        <w:ind w:left="360"/>
        <w:contextualSpacing w:val="0"/>
        <w:rPr>
          <w:rFonts w:ascii="Aptos" w:hAnsi="Aptos"/>
        </w:rPr>
      </w:pPr>
      <w:r w:rsidRPr="008E2A70">
        <w:rPr>
          <w:rFonts w:ascii="Aptos" w:hAnsi="Aptos"/>
        </w:rPr>
        <w:t>Los pacientes mayores tienen mayor riesgo de daño por medicamentos y son los más propensos a recibir múltiples prescripciones.</w:t>
      </w:r>
    </w:p>
    <w:p w14:paraId="634BF01E" w14:textId="77777777" w:rsidR="0047607D" w:rsidRPr="008E2A70" w:rsidRDefault="008E2A70" w:rsidP="008E2A70">
      <w:pPr>
        <w:pStyle w:val="ListParagraph"/>
        <w:numPr>
          <w:ilvl w:val="0"/>
          <w:numId w:val="10"/>
        </w:numPr>
        <w:spacing w:after="80"/>
        <w:ind w:left="360"/>
        <w:contextualSpacing w:val="0"/>
        <w:rPr>
          <w:rFonts w:ascii="Aptos" w:hAnsi="Aptos"/>
        </w:rPr>
      </w:pPr>
      <w:r w:rsidRPr="008E2A70">
        <w:rPr>
          <w:rFonts w:ascii="Aptos" w:hAnsi="Aptos"/>
        </w:rPr>
        <w:t>Medicamentos que más contribuyen al daño relacionado con medicamentos: antibacterianos, antipsicóticos, medicamentos cardiovasculares, medicamentos para trastornos gastrointestinales funcionales, terapia endocrina, hipnóticos, sedantes y antiinflamatorios no esteroideos.</w:t>
      </w:r>
    </w:p>
    <w:p w14:paraId="73479E50" w14:textId="77777777" w:rsidR="0047607D" w:rsidRPr="008E2A70" w:rsidRDefault="008E2A70" w:rsidP="008E2A70">
      <w:pPr>
        <w:pStyle w:val="ListParagraph"/>
        <w:numPr>
          <w:ilvl w:val="0"/>
          <w:numId w:val="10"/>
        </w:numPr>
        <w:spacing w:after="80"/>
        <w:ind w:left="360"/>
        <w:contextualSpacing w:val="0"/>
        <w:rPr>
          <w:rFonts w:ascii="Aptos" w:hAnsi="Aptos"/>
        </w:rPr>
      </w:pPr>
      <w:r w:rsidRPr="008E2A70">
        <w:rPr>
          <w:rFonts w:ascii="Aptos" w:hAnsi="Aptos"/>
        </w:rPr>
        <w:t>La resistencia a los antimicrobianos (RAM) es una de las principales amenazas para la salud pública y el desarrollo global. Se estima que la RAM bacteriana fue directamente responsable de 1.27 millones de muertes en 2019 y contribuyó a 4.95 millones de muertes. (OMS 2025)</w:t>
      </w:r>
    </w:p>
    <w:p w14:paraId="1D916717" w14:textId="77777777" w:rsidR="0047607D" w:rsidRPr="008E2A70" w:rsidRDefault="008E2A70" w:rsidP="008E2A70">
      <w:pPr>
        <w:pStyle w:val="ListParagraph"/>
        <w:numPr>
          <w:ilvl w:val="0"/>
          <w:numId w:val="10"/>
        </w:numPr>
        <w:spacing w:after="80"/>
        <w:ind w:left="360"/>
        <w:contextualSpacing w:val="0"/>
        <w:rPr>
          <w:rFonts w:ascii="Aptos" w:hAnsi="Aptos"/>
        </w:rPr>
      </w:pPr>
      <w:r w:rsidRPr="008E2A70">
        <w:rPr>
          <w:rFonts w:ascii="Aptos" w:hAnsi="Aptos"/>
        </w:rPr>
        <w:t xml:space="preserve">Además de la muerte y la discapacidad, la RAM tiene importantes costos económicos. El Banco Mundial estima que la RAM podría causar costos adicionales de atención </w:t>
      </w:r>
      <w:r w:rsidRPr="008E2A70">
        <w:rPr>
          <w:rFonts w:ascii="Aptos" w:hAnsi="Aptos"/>
        </w:rPr>
        <w:lastRenderedPageBreak/>
        <w:t>sanitaria de hasta 1 billón de dólares para 2050, y pérdidas del PIB de entre 1 y 3.4 billones de dólares por año para 2030. (OMS 2025)</w:t>
      </w:r>
    </w:p>
    <w:p w14:paraId="6E2C92ED" w14:textId="77777777" w:rsidR="0047607D" w:rsidRPr="008E2A70" w:rsidRDefault="008E2A70" w:rsidP="008E2A70">
      <w:pPr>
        <w:pStyle w:val="ListParagraph"/>
        <w:numPr>
          <w:ilvl w:val="0"/>
          <w:numId w:val="10"/>
        </w:numPr>
        <w:spacing w:after="80"/>
        <w:ind w:left="360"/>
        <w:contextualSpacing w:val="0"/>
        <w:rPr>
          <w:rFonts w:ascii="Aptos" w:hAnsi="Aptos"/>
        </w:rPr>
      </w:pPr>
      <w:r w:rsidRPr="008E2A70">
        <w:rPr>
          <w:rFonts w:ascii="Aptos" w:hAnsi="Aptos"/>
        </w:rPr>
        <w:t>Solo en EE.UU., el CDC y expertos de la Universidad de Utah estiman que tratar amenazas relacionadas con la RAM cuesta más de 4.6 mil millones de dólares al año en atención sanitaria. (OMS 2024)</w:t>
      </w:r>
    </w:p>
    <w:p w14:paraId="3F0D896E" w14:textId="77777777" w:rsidR="0047607D" w:rsidRPr="008E2A70" w:rsidRDefault="008E2A70" w:rsidP="008E2A70">
      <w:pPr>
        <w:pStyle w:val="ListParagraph"/>
        <w:numPr>
          <w:ilvl w:val="0"/>
          <w:numId w:val="10"/>
        </w:numPr>
        <w:spacing w:after="80"/>
        <w:ind w:left="360"/>
        <w:contextualSpacing w:val="0"/>
        <w:rPr>
          <w:rFonts w:ascii="Aptos" w:hAnsi="Aptos"/>
        </w:rPr>
      </w:pPr>
      <w:r w:rsidRPr="008E2A70">
        <w:rPr>
          <w:rFonts w:ascii="Aptos" w:hAnsi="Aptos"/>
        </w:rPr>
        <w:t>El uso racional incluye educar a los pacientes sobre el uso adecuado de los medicamentos, como la importancia de completar el tratamiento prescrito o seguir las instrucciones de dosificación. Empoderar a los pacientes con conocimiento mejora la adherencia al tratamiento y su comprensión para manejar su salud, lo cual beneficia directamente a la salud pública. (OMS 2017)</w:t>
      </w:r>
    </w:p>
    <w:sectPr w:rsidR="0047607D" w:rsidRPr="008E2A70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DDA2DA6"/>
    <w:multiLevelType w:val="hybridMultilevel"/>
    <w:tmpl w:val="258CC36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0842E1"/>
    <w:multiLevelType w:val="hybridMultilevel"/>
    <w:tmpl w:val="60CCFB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8609932">
    <w:abstractNumId w:val="8"/>
  </w:num>
  <w:num w:numId="2" w16cid:durableId="93282043">
    <w:abstractNumId w:val="6"/>
  </w:num>
  <w:num w:numId="3" w16cid:durableId="330914289">
    <w:abstractNumId w:val="5"/>
  </w:num>
  <w:num w:numId="4" w16cid:durableId="1126657212">
    <w:abstractNumId w:val="4"/>
  </w:num>
  <w:num w:numId="5" w16cid:durableId="1243443873">
    <w:abstractNumId w:val="7"/>
  </w:num>
  <w:num w:numId="6" w16cid:durableId="140389643">
    <w:abstractNumId w:val="3"/>
  </w:num>
  <w:num w:numId="7" w16cid:durableId="1182475089">
    <w:abstractNumId w:val="2"/>
  </w:num>
  <w:num w:numId="8" w16cid:durableId="526724192">
    <w:abstractNumId w:val="1"/>
  </w:num>
  <w:num w:numId="9" w16cid:durableId="182330730">
    <w:abstractNumId w:val="0"/>
  </w:num>
  <w:num w:numId="10" w16cid:durableId="122042649">
    <w:abstractNumId w:val="10"/>
  </w:num>
  <w:num w:numId="11" w16cid:durableId="187014330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1947F8"/>
    <w:rsid w:val="0029639D"/>
    <w:rsid w:val="00326F90"/>
    <w:rsid w:val="0047607D"/>
    <w:rsid w:val="008E2A7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E8867FC"/>
  <w14:defaultImageDpi w14:val="300"/>
  <w15:docId w15:val="{6CABE65C-48E8-46D1-BB04-5E93E036D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504</Words>
  <Characters>2876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3374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Shelby Kemper</cp:lastModifiedBy>
  <cp:revision>2</cp:revision>
  <dcterms:created xsi:type="dcterms:W3CDTF">2025-07-03T19:17:00Z</dcterms:created>
  <dcterms:modified xsi:type="dcterms:W3CDTF">2025-07-03T19:17:00Z</dcterms:modified>
  <cp:category/>
</cp:coreProperties>
</file>