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22A49" w14:textId="77777777" w:rsidR="00B831D3" w:rsidRDefault="00AC22F7">
      <w:pPr>
        <w:pStyle w:val="Heading1"/>
        <w:spacing w:after="120" w:line="240" w:lineRule="auto"/>
        <w:jc w:val="center"/>
        <w:rPr>
          <w:rFonts w:ascii="Times New Roman" w:eastAsia="FangSong" w:hAnsi="Times New Roman"/>
          <w:sz w:val="22"/>
          <w:szCs w:val="22"/>
        </w:rPr>
      </w:pPr>
      <w:r>
        <w:rPr>
          <w:rFonts w:ascii="Times New Roman" w:eastAsia="FangSong" w:hAnsi="Times New Roman"/>
          <w:sz w:val="22"/>
          <w:szCs w:val="22"/>
        </w:rPr>
        <w:t>International Rational Use of Medicines Day 2025</w:t>
      </w:r>
    </w:p>
    <w:p w14:paraId="5E1CFC9F" w14:textId="77777777" w:rsidR="00B831D3" w:rsidRDefault="00AC22F7">
      <w:pPr>
        <w:jc w:val="center"/>
        <w:rPr>
          <w:rFonts w:ascii="Times New Roman" w:eastAsia="FangSong" w:hAnsi="Times New Roman"/>
          <w:sz w:val="28"/>
          <w:szCs w:val="28"/>
          <w:lang w:val="en-US" w:eastAsia="zh-CN"/>
        </w:rPr>
      </w:pPr>
      <w:r>
        <w:rPr>
          <w:rFonts w:ascii="Times New Roman" w:eastAsia="FangSong" w:hAnsi="Times New Roman" w:hint="eastAsia"/>
          <w:sz w:val="28"/>
          <w:szCs w:val="28"/>
          <w:lang w:val="en-US" w:eastAsia="zh-CN"/>
        </w:rPr>
        <w:t>2025</w:t>
      </w:r>
      <w:r>
        <w:rPr>
          <w:rFonts w:ascii="Times New Roman" w:eastAsia="FangSong" w:hAnsi="Times New Roman" w:hint="eastAsia"/>
          <w:sz w:val="28"/>
          <w:szCs w:val="28"/>
          <w:lang w:val="en-US" w:eastAsia="zh-CN"/>
        </w:rPr>
        <w:t>年国际合理用药日</w:t>
      </w:r>
    </w:p>
    <w:p w14:paraId="19145241" w14:textId="77777777" w:rsidR="00B831D3" w:rsidRDefault="00AC22F7">
      <w:pPr>
        <w:pStyle w:val="Heading1"/>
        <w:spacing w:after="120" w:line="240" w:lineRule="auto"/>
        <w:jc w:val="center"/>
        <w:rPr>
          <w:rFonts w:ascii="Times New Roman" w:eastAsia="FangSong" w:hAnsi="Times New Roman"/>
          <w:sz w:val="22"/>
          <w:szCs w:val="22"/>
        </w:rPr>
      </w:pPr>
      <w:r>
        <w:rPr>
          <w:rFonts w:ascii="Times New Roman" w:eastAsia="FangSong" w:hAnsi="Times New Roman"/>
          <w:sz w:val="22"/>
          <w:szCs w:val="22"/>
        </w:rPr>
        <w:t>THE FACTS</w:t>
      </w:r>
    </w:p>
    <w:p w14:paraId="3BA45012" w14:textId="77777777" w:rsidR="00B831D3" w:rsidRDefault="00AC22F7">
      <w:pPr>
        <w:jc w:val="center"/>
        <w:rPr>
          <w:rFonts w:ascii="Times New Roman" w:eastAsia="FangSong" w:hAnsi="Times New Roman"/>
          <w:sz w:val="28"/>
          <w:szCs w:val="28"/>
        </w:rPr>
      </w:pPr>
      <w:proofErr w:type="spellStart"/>
      <w:r>
        <w:rPr>
          <w:rFonts w:ascii="Times New Roman" w:eastAsia="FangSong" w:hAnsi="Times New Roman"/>
          <w:sz w:val="28"/>
          <w:szCs w:val="28"/>
        </w:rPr>
        <w:t>事实与数据</w:t>
      </w:r>
      <w:proofErr w:type="spellEnd"/>
    </w:p>
    <w:p w14:paraId="29A08ED1" w14:textId="77777777" w:rsidR="00B831D3" w:rsidRDefault="00B831D3">
      <w:pPr>
        <w:spacing w:after="120" w:line="240" w:lineRule="auto"/>
        <w:rPr>
          <w:rFonts w:ascii="Times New Roman" w:eastAsia="FangSong" w:hAnsi="Times New Roman"/>
          <w:lang w:val="en-US"/>
        </w:rPr>
      </w:pPr>
    </w:p>
    <w:p w14:paraId="0F93BE52" w14:textId="77777777" w:rsidR="00B831D3" w:rsidRDefault="00AC22F7">
      <w:pPr>
        <w:pStyle w:val="gmail-"/>
        <w:numPr>
          <w:ilvl w:val="0"/>
          <w:numId w:val="1"/>
        </w:numPr>
        <w:spacing w:after="120" w:afterAutospacing="0"/>
        <w:rPr>
          <w:rFonts w:ascii="Times New Roman" w:eastAsia="FangSong" w:hAnsi="Times New Roman"/>
        </w:rPr>
      </w:pPr>
      <w:r>
        <w:rPr>
          <w:rFonts w:ascii="Times New Roman" w:eastAsia="FangSong" w:hAnsi="Times New Roman"/>
          <w:lang w:eastAsia="zh-CN"/>
        </w:rPr>
        <w:t>世界卫生组织（</w:t>
      </w:r>
      <w:r>
        <w:rPr>
          <w:rFonts w:ascii="Times New Roman" w:eastAsia="FangSong" w:hAnsi="Times New Roman"/>
          <w:lang w:eastAsia="zh-CN"/>
        </w:rPr>
        <w:t>WHO</w:t>
      </w:r>
      <w:r>
        <w:rPr>
          <w:rFonts w:ascii="Times New Roman" w:eastAsia="FangSong" w:hAnsi="Times New Roman"/>
          <w:lang w:eastAsia="zh-CN"/>
        </w:rPr>
        <w:t>）及其他国际机构强调，合理用药是全球卫生战略（包括可持续发展目标）的基石。这是实现全民健康覆盖和减少可预防疾病的关键支撑。</w:t>
      </w:r>
      <w:r>
        <w:rPr>
          <w:rFonts w:ascii="Times New Roman" w:eastAsia="FangSong" w:hAnsi="Times New Roman"/>
          <w:lang w:eastAsia="zh-CN"/>
        </w:rPr>
        <w:t xml:space="preserve"> </w:t>
      </w:r>
      <w:r>
        <w:rPr>
          <w:rFonts w:ascii="Times New Roman" w:eastAsia="FangSong" w:hAnsi="Times New Roman"/>
        </w:rPr>
        <w:t>(</w:t>
      </w:r>
      <w:r>
        <w:rPr>
          <w:rFonts w:ascii="Times New Roman" w:eastAsia="FangSong" w:hAnsi="Times New Roman"/>
        </w:rPr>
        <w:t>世界卫生组织，</w:t>
      </w:r>
      <w:r>
        <w:rPr>
          <w:rFonts w:ascii="Times New Roman" w:eastAsia="FangSong" w:hAnsi="Times New Roman"/>
        </w:rPr>
        <w:t>2015</w:t>
      </w:r>
      <w:r>
        <w:rPr>
          <w:rFonts w:ascii="Times New Roman" w:eastAsia="FangSong" w:hAnsi="Times New Roman"/>
        </w:rPr>
        <w:t>年</w:t>
      </w:r>
      <w:r>
        <w:rPr>
          <w:rFonts w:ascii="Times New Roman" w:eastAsia="FangSong" w:hAnsi="Times New Roman"/>
        </w:rPr>
        <w:t>)  </w:t>
      </w:r>
    </w:p>
    <w:p w14:paraId="31F913D3" w14:textId="77777777" w:rsidR="00B831D3" w:rsidRDefault="00AC22F7">
      <w:pPr>
        <w:pStyle w:val="ListParagraph"/>
        <w:numPr>
          <w:ilvl w:val="0"/>
          <w:numId w:val="1"/>
        </w:numPr>
        <w:spacing w:after="120" w:line="240" w:lineRule="auto"/>
        <w:rPr>
          <w:rFonts w:ascii="Times New Roman" w:eastAsia="FangSong" w:hAnsi="Times New Roman"/>
          <w:sz w:val="24"/>
          <w:szCs w:val="24"/>
          <w:lang w:val="en-US" w:eastAsia="zh-CN"/>
        </w:rPr>
      </w:pPr>
      <w:r>
        <w:rPr>
          <w:rFonts w:ascii="Times New Roman" w:eastAsia="FangSong" w:hAnsi="Times New Roman"/>
          <w:sz w:val="24"/>
          <w:szCs w:val="24"/>
          <w:lang w:eastAsia="zh-CN"/>
        </w:rPr>
        <w:t>在发展中国家，药品支出占医疗总费用的</w:t>
      </w:r>
      <w:r>
        <w:rPr>
          <w:rFonts w:ascii="Times New Roman" w:eastAsia="FangSong" w:hAnsi="Times New Roman"/>
          <w:sz w:val="24"/>
          <w:szCs w:val="24"/>
          <w:lang w:eastAsia="zh-CN"/>
        </w:rPr>
        <w:t>20%-60%</w:t>
      </w:r>
      <w:r>
        <w:rPr>
          <w:rFonts w:ascii="Times New Roman" w:eastAsia="FangSong" w:hAnsi="Times New Roman"/>
          <w:sz w:val="24"/>
          <w:szCs w:val="24"/>
          <w:lang w:eastAsia="zh-CN"/>
        </w:rPr>
        <w:t>，</w:t>
      </w:r>
      <w:r>
        <w:rPr>
          <w:rFonts w:ascii="Times New Roman" w:eastAsia="FangSong" w:hAnsi="Times New Roman" w:hint="eastAsia"/>
          <w:sz w:val="24"/>
          <w:szCs w:val="24"/>
          <w:lang w:val="en-US" w:eastAsia="zh-CN"/>
        </w:rPr>
        <w:t>其中</w:t>
      </w:r>
      <w:r>
        <w:rPr>
          <w:rFonts w:ascii="Times New Roman" w:eastAsia="FangSong" w:hAnsi="Times New Roman"/>
          <w:sz w:val="24"/>
          <w:szCs w:val="24"/>
          <w:lang w:eastAsia="zh-CN"/>
        </w:rPr>
        <w:t>高达</w:t>
      </w:r>
      <w:r>
        <w:rPr>
          <w:rFonts w:ascii="Times New Roman" w:eastAsia="FangSong" w:hAnsi="Times New Roman"/>
          <w:sz w:val="24"/>
          <w:szCs w:val="24"/>
          <w:lang w:eastAsia="zh-CN"/>
        </w:rPr>
        <w:t>90%</w:t>
      </w:r>
      <w:r>
        <w:rPr>
          <w:rFonts w:ascii="Times New Roman" w:eastAsia="FangSong" w:hAnsi="Times New Roman"/>
          <w:sz w:val="24"/>
          <w:szCs w:val="24"/>
          <w:lang w:eastAsia="zh-CN"/>
        </w:rPr>
        <w:t>的人口需自费购药，使药品成为家庭仅次于食品的最大开支项目。这意味着药品对个人和国家都是</w:t>
      </w:r>
      <w:r>
        <w:rPr>
          <w:rFonts w:ascii="Times New Roman" w:eastAsia="FangSong" w:hAnsi="Times New Roman" w:hint="eastAsia"/>
          <w:sz w:val="24"/>
          <w:szCs w:val="24"/>
          <w:lang w:val="en-US" w:eastAsia="zh-CN"/>
        </w:rPr>
        <w:t>一项</w:t>
      </w:r>
      <w:r>
        <w:rPr>
          <w:rFonts w:ascii="Times New Roman" w:eastAsia="FangSong" w:hAnsi="Times New Roman"/>
          <w:sz w:val="24"/>
          <w:szCs w:val="24"/>
          <w:lang w:eastAsia="zh-CN"/>
        </w:rPr>
        <w:t>重大支出，我们必须确保这笔开支物有所值，而合理用药正是实现这一目标的关键保障。</w:t>
      </w:r>
    </w:p>
    <w:p w14:paraId="3B7A5CCB" w14:textId="77777777" w:rsidR="00B831D3" w:rsidRDefault="00B831D3">
      <w:pPr>
        <w:pStyle w:val="ListParagraph"/>
        <w:spacing w:after="120" w:line="240" w:lineRule="auto"/>
        <w:ind w:left="360"/>
        <w:rPr>
          <w:rFonts w:ascii="Times New Roman" w:eastAsia="FangSong" w:hAnsi="Times New Roman"/>
          <w:sz w:val="24"/>
          <w:szCs w:val="24"/>
          <w:lang w:val="en-US" w:eastAsia="zh-CN"/>
        </w:rPr>
      </w:pPr>
    </w:p>
    <w:p w14:paraId="6046BB19" w14:textId="77777777" w:rsidR="00B831D3" w:rsidRDefault="00AC22F7">
      <w:pPr>
        <w:pStyle w:val="ListParagraph"/>
        <w:numPr>
          <w:ilvl w:val="0"/>
          <w:numId w:val="1"/>
        </w:numPr>
        <w:spacing w:after="120" w:line="240" w:lineRule="auto"/>
        <w:rPr>
          <w:rFonts w:ascii="Times New Roman" w:eastAsia="FangSong" w:hAnsi="Times New Roman"/>
          <w:sz w:val="24"/>
          <w:szCs w:val="24"/>
          <w:lang w:val="en-US"/>
        </w:rPr>
      </w:pPr>
      <w:r>
        <w:rPr>
          <w:rFonts w:ascii="Times New Roman" w:eastAsia="FangSong" w:hAnsi="Times New Roman"/>
          <w:sz w:val="24"/>
          <w:szCs w:val="24"/>
          <w:lang w:val="en-US" w:eastAsia="zh-CN"/>
        </w:rPr>
        <w:t>若全球范围内实现更为合理的用药，每年可节省超过</w:t>
      </w:r>
      <w:r>
        <w:rPr>
          <w:rFonts w:ascii="Times New Roman" w:eastAsia="FangSong" w:hAnsi="Times New Roman"/>
          <w:sz w:val="24"/>
          <w:szCs w:val="24"/>
          <w:lang w:val="en-US" w:eastAsia="zh-CN"/>
        </w:rPr>
        <w:t>5,000</w:t>
      </w:r>
      <w:r>
        <w:rPr>
          <w:rFonts w:ascii="Times New Roman" w:eastAsia="FangSong" w:hAnsi="Times New Roman"/>
          <w:sz w:val="24"/>
          <w:szCs w:val="24"/>
          <w:lang w:val="en-US" w:eastAsia="zh-CN"/>
        </w:rPr>
        <w:t>亿美元的开支。</w:t>
      </w:r>
      <w:r>
        <w:rPr>
          <w:rFonts w:ascii="Times New Roman" w:eastAsia="FangSong" w:hAnsi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eastAsia="FangSong" w:hAnsi="Times New Roman"/>
          <w:sz w:val="24"/>
          <w:szCs w:val="24"/>
          <w:lang w:val="en-US"/>
        </w:rPr>
        <w:t>(IMS 2012)</w:t>
      </w:r>
    </w:p>
    <w:p w14:paraId="1484A8BE" w14:textId="77777777" w:rsidR="00B831D3" w:rsidRDefault="00B831D3">
      <w:pPr>
        <w:pStyle w:val="ListParagraph"/>
        <w:spacing w:after="120" w:line="240" w:lineRule="auto"/>
        <w:rPr>
          <w:rFonts w:ascii="Times New Roman" w:eastAsia="FangSong" w:hAnsi="Times New Roman"/>
          <w:sz w:val="24"/>
          <w:szCs w:val="24"/>
          <w:lang w:val="en-US"/>
        </w:rPr>
      </w:pPr>
    </w:p>
    <w:p w14:paraId="404A41C3" w14:textId="77777777" w:rsidR="00B831D3" w:rsidRDefault="00AC22F7">
      <w:pPr>
        <w:pStyle w:val="ListParagraph"/>
        <w:numPr>
          <w:ilvl w:val="0"/>
          <w:numId w:val="1"/>
        </w:numPr>
        <w:spacing w:after="120" w:line="240" w:lineRule="auto"/>
        <w:rPr>
          <w:rFonts w:ascii="Times New Roman" w:eastAsia="FangSong" w:hAnsi="Times New Roman"/>
          <w:sz w:val="24"/>
          <w:szCs w:val="24"/>
          <w:lang w:val="en-US"/>
        </w:rPr>
      </w:pPr>
      <w:r>
        <w:rPr>
          <w:rFonts w:ascii="Times New Roman" w:eastAsia="FangSong" w:hAnsi="Times New Roman"/>
          <w:sz w:val="24"/>
          <w:szCs w:val="24"/>
          <w:lang w:val="en-US" w:eastAsia="zh-CN"/>
        </w:rPr>
        <w:t>药害事件在全球医疗机构中普遍存在：中低收入国家</w:t>
      </w:r>
      <w:r>
        <w:rPr>
          <w:rFonts w:ascii="Times New Roman" w:eastAsia="FangSong" w:hAnsi="Times New Roman"/>
          <w:sz w:val="24"/>
          <w:szCs w:val="24"/>
          <w:lang w:val="en-US" w:eastAsia="zh-CN"/>
        </w:rPr>
        <w:t>7%</w:t>
      </w:r>
      <w:r>
        <w:rPr>
          <w:rFonts w:ascii="Times New Roman" w:eastAsia="FangSong" w:hAnsi="Times New Roman"/>
          <w:sz w:val="24"/>
          <w:szCs w:val="24"/>
          <w:lang w:val="en-US" w:eastAsia="zh-CN"/>
        </w:rPr>
        <w:t>的患者和高收入国家</w:t>
      </w:r>
      <w:r>
        <w:rPr>
          <w:rFonts w:ascii="Times New Roman" w:eastAsia="FangSong" w:hAnsi="Times New Roman"/>
          <w:sz w:val="24"/>
          <w:szCs w:val="24"/>
          <w:lang w:val="en-US" w:eastAsia="zh-CN"/>
        </w:rPr>
        <w:t>4%</w:t>
      </w:r>
      <w:r>
        <w:rPr>
          <w:rFonts w:ascii="Times New Roman" w:eastAsia="FangSong" w:hAnsi="Times New Roman"/>
          <w:sz w:val="24"/>
          <w:szCs w:val="24"/>
          <w:lang w:val="en-US" w:eastAsia="zh-CN"/>
        </w:rPr>
        <w:t>的患者曾遭遇本可预防的药害事件，其中非洲和东南亚地区发生率最高达</w:t>
      </w:r>
      <w:r>
        <w:rPr>
          <w:rFonts w:ascii="Times New Roman" w:eastAsia="FangSong" w:hAnsi="Times New Roman"/>
          <w:sz w:val="24"/>
          <w:szCs w:val="24"/>
          <w:lang w:val="en-US" w:eastAsia="zh-CN"/>
        </w:rPr>
        <w:t>9%</w:t>
      </w:r>
      <w:r>
        <w:rPr>
          <w:rFonts w:ascii="Times New Roman" w:eastAsia="FangSong" w:hAnsi="Times New Roman" w:hint="eastAsia"/>
          <w:sz w:val="24"/>
          <w:szCs w:val="24"/>
          <w:lang w:val="en-US" w:eastAsia="zh-CN"/>
        </w:rPr>
        <w:t>。</w:t>
      </w:r>
      <w:r>
        <w:rPr>
          <w:rFonts w:ascii="Times New Roman" w:eastAsia="FangSong" w:hAnsi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eastAsia="FangSong" w:hAnsi="Times New Roman"/>
          <w:sz w:val="24"/>
          <w:szCs w:val="24"/>
          <w:lang w:val="en-US"/>
        </w:rPr>
        <w:t>(WHO 2024)</w:t>
      </w:r>
    </w:p>
    <w:p w14:paraId="7BC9AD47" w14:textId="77777777" w:rsidR="00B831D3" w:rsidRDefault="00B831D3">
      <w:pPr>
        <w:pStyle w:val="ListParagraph"/>
        <w:spacing w:after="120" w:line="240" w:lineRule="auto"/>
        <w:ind w:left="360"/>
        <w:rPr>
          <w:rFonts w:ascii="Times New Roman" w:eastAsia="FangSong" w:hAnsi="Times New Roman"/>
          <w:sz w:val="24"/>
          <w:szCs w:val="24"/>
          <w:lang w:val="en-US"/>
        </w:rPr>
      </w:pPr>
    </w:p>
    <w:p w14:paraId="03097C06" w14:textId="77777777" w:rsidR="00B831D3" w:rsidRDefault="00AC22F7">
      <w:pPr>
        <w:pStyle w:val="ListParagraph"/>
        <w:numPr>
          <w:ilvl w:val="0"/>
          <w:numId w:val="1"/>
        </w:numPr>
        <w:spacing w:after="120" w:line="240" w:lineRule="auto"/>
        <w:rPr>
          <w:rFonts w:ascii="Times New Roman" w:eastAsia="FangSong" w:hAnsi="Times New Roman"/>
          <w:sz w:val="24"/>
          <w:szCs w:val="24"/>
          <w:lang w:val="en-US" w:eastAsia="zh-CN"/>
        </w:rPr>
      </w:pPr>
      <w:r>
        <w:rPr>
          <w:rFonts w:ascii="Times New Roman" w:eastAsia="FangSong" w:hAnsi="Times New Roman"/>
          <w:sz w:val="24"/>
          <w:szCs w:val="24"/>
          <w:lang w:val="en-US" w:eastAsia="zh-CN"/>
        </w:rPr>
        <w:t>在可预防的药害事件中，有四分之一属于严重或可能危及生命的级别。</w:t>
      </w:r>
    </w:p>
    <w:p w14:paraId="1DE7B624" w14:textId="77777777" w:rsidR="00B831D3" w:rsidRDefault="00B831D3">
      <w:pPr>
        <w:pStyle w:val="ListParagraph"/>
        <w:spacing w:after="120" w:line="240" w:lineRule="auto"/>
        <w:ind w:left="0"/>
        <w:rPr>
          <w:rFonts w:ascii="Times New Roman" w:eastAsia="FangSong" w:hAnsi="Times New Roman"/>
          <w:sz w:val="24"/>
          <w:szCs w:val="24"/>
          <w:lang w:val="en-US" w:eastAsia="zh-CN"/>
        </w:rPr>
      </w:pPr>
    </w:p>
    <w:p w14:paraId="5D435341" w14:textId="77777777" w:rsidR="00B831D3" w:rsidRDefault="00AC22F7">
      <w:pPr>
        <w:pStyle w:val="ListParagraph"/>
        <w:numPr>
          <w:ilvl w:val="0"/>
          <w:numId w:val="1"/>
        </w:numPr>
        <w:spacing w:after="120" w:line="240" w:lineRule="auto"/>
        <w:rPr>
          <w:rFonts w:ascii="Times New Roman" w:eastAsia="FangSong" w:hAnsi="Times New Roman"/>
          <w:sz w:val="24"/>
          <w:szCs w:val="24"/>
          <w:lang w:val="en-US" w:eastAsia="zh-CN"/>
        </w:rPr>
      </w:pPr>
      <w:r>
        <w:rPr>
          <w:rFonts w:ascii="Times New Roman" w:eastAsia="FangSong" w:hAnsi="Times New Roman"/>
          <w:sz w:val="24"/>
          <w:szCs w:val="24"/>
          <w:lang w:val="en-US" w:eastAsia="zh-CN"/>
        </w:rPr>
        <w:t>常见问题包括：抗生素滥用导致耐药性、仿制药使用不当、多种药物联合使用时管理不善、慢性病用药延误或不足、患者未按医嘱服药等。</w:t>
      </w:r>
    </w:p>
    <w:p w14:paraId="7ADDBCBA" w14:textId="77777777" w:rsidR="00B831D3" w:rsidRDefault="00B831D3">
      <w:pPr>
        <w:pStyle w:val="ListParagraph"/>
        <w:spacing w:after="120" w:line="240" w:lineRule="auto"/>
        <w:ind w:left="0"/>
        <w:rPr>
          <w:rFonts w:ascii="Times New Roman" w:eastAsia="FangSong" w:hAnsi="Times New Roman"/>
          <w:sz w:val="24"/>
          <w:szCs w:val="24"/>
          <w:lang w:val="en-US" w:eastAsia="zh-CN"/>
        </w:rPr>
      </w:pPr>
    </w:p>
    <w:p w14:paraId="279E1CCA" w14:textId="77777777" w:rsidR="00B831D3" w:rsidRDefault="00AC22F7">
      <w:pPr>
        <w:pStyle w:val="ListParagraph"/>
        <w:numPr>
          <w:ilvl w:val="0"/>
          <w:numId w:val="1"/>
        </w:numPr>
        <w:spacing w:after="120" w:line="240" w:lineRule="auto"/>
        <w:rPr>
          <w:rFonts w:ascii="Times New Roman" w:eastAsia="FangSong" w:hAnsi="Times New Roman"/>
          <w:sz w:val="24"/>
          <w:szCs w:val="24"/>
          <w:lang w:val="en-US" w:eastAsia="zh-CN"/>
        </w:rPr>
      </w:pPr>
      <w:r>
        <w:rPr>
          <w:rFonts w:ascii="Times New Roman" w:eastAsia="FangSong" w:hAnsi="Times New Roman"/>
          <w:sz w:val="24"/>
          <w:szCs w:val="24"/>
          <w:lang w:val="en-US" w:eastAsia="zh-CN"/>
        </w:rPr>
        <w:t>老年患者面临更高药害风险，且最常被开具多种药物联合治疗方案。</w:t>
      </w:r>
    </w:p>
    <w:p w14:paraId="77C3368A" w14:textId="77777777" w:rsidR="00B831D3" w:rsidRDefault="00B831D3">
      <w:pPr>
        <w:pStyle w:val="ListParagraph"/>
        <w:spacing w:after="120" w:line="240" w:lineRule="auto"/>
        <w:rPr>
          <w:rFonts w:ascii="Times New Roman" w:eastAsia="FangSong" w:hAnsi="Times New Roman"/>
          <w:sz w:val="24"/>
          <w:szCs w:val="24"/>
          <w:lang w:val="en-US" w:eastAsia="zh-CN"/>
        </w:rPr>
      </w:pPr>
    </w:p>
    <w:p w14:paraId="17103F13" w14:textId="77777777" w:rsidR="00B831D3" w:rsidRDefault="00AC22F7">
      <w:pPr>
        <w:pStyle w:val="ListParagraph"/>
        <w:numPr>
          <w:ilvl w:val="0"/>
          <w:numId w:val="1"/>
        </w:numPr>
        <w:spacing w:after="120" w:line="240" w:lineRule="auto"/>
        <w:rPr>
          <w:rFonts w:ascii="Times New Roman" w:eastAsia="FangSong" w:hAnsi="Times New Roman"/>
          <w:sz w:val="24"/>
          <w:szCs w:val="24"/>
          <w:lang w:val="en-US" w:eastAsia="zh-CN"/>
        </w:rPr>
      </w:pPr>
      <w:r>
        <w:rPr>
          <w:rFonts w:ascii="Times New Roman" w:eastAsia="FangSong" w:hAnsi="Times New Roman"/>
          <w:sz w:val="24"/>
          <w:szCs w:val="24"/>
          <w:lang w:eastAsia="zh-CN"/>
        </w:rPr>
        <w:t>最易引发药害的药品类别：抗菌药、抗精神病药、心血管药物、功能性胃肠病用药、内分泌治疗药物、催眠镇静药及非甾体抗炎药</w:t>
      </w:r>
      <w:r>
        <w:rPr>
          <w:rFonts w:ascii="Times New Roman" w:eastAsia="FangSong" w:hAnsi="Times New Roman" w:hint="eastAsia"/>
          <w:sz w:val="24"/>
          <w:szCs w:val="24"/>
          <w:lang w:eastAsia="zh-CN"/>
        </w:rPr>
        <w:t>。</w:t>
      </w:r>
    </w:p>
    <w:p w14:paraId="655087F4" w14:textId="77777777" w:rsidR="00B831D3" w:rsidRDefault="00AC22F7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en-AU"/>
          <w14:ligatures w14:val="none"/>
        </w:rPr>
      </w:pP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抗菌素耐药性（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val="en-US" w:eastAsia="zh-CN"/>
          <w14:ligatures w14:val="none"/>
        </w:rPr>
        <w:t>AMR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）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zh-CN"/>
          <w14:ligatures w14:val="none"/>
        </w:rPr>
        <w:t>已成为全球公共卫生和发展的最严峻威胁之一。据估算，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zh-CN"/>
          <w14:ligatures w14:val="none"/>
        </w:rPr>
        <w:t>2019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zh-CN"/>
          <w14:ligatures w14:val="none"/>
        </w:rPr>
        <w:t>年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val="en-US" w:eastAsia="zh-CN"/>
          <w14:ligatures w14:val="none"/>
        </w:rPr>
        <w:t>细菌性抗菌素耐药性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zh-CN"/>
          <w14:ligatures w14:val="none"/>
        </w:rPr>
        <w:t>直接造成全球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zh-CN"/>
          <w14:ligatures w14:val="none"/>
        </w:rPr>
        <w:t>127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zh-CN"/>
          <w14:ligatures w14:val="none"/>
        </w:rPr>
        <w:t>万人死亡，并间接导致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zh-CN"/>
          <w14:ligatures w14:val="none"/>
        </w:rPr>
        <w:t>495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zh-CN"/>
          <w14:ligatures w14:val="none"/>
        </w:rPr>
        <w:t>万人死亡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。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zh-CN"/>
          <w14:ligatures w14:val="none"/>
        </w:rPr>
        <w:t> 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en-AU"/>
          <w14:ligatures w14:val="none"/>
        </w:rPr>
        <w:t>(WHO 2025)</w:t>
      </w:r>
    </w:p>
    <w:p w14:paraId="5D7C837D" w14:textId="77777777" w:rsidR="00B831D3" w:rsidRDefault="00AC22F7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en-AU"/>
          <w14:ligatures w14:val="none"/>
        </w:rPr>
      </w:pP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除致死致残外，抗菌素耐药性还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val="en-US" w:eastAsia="zh-CN"/>
          <w14:ligatures w14:val="none"/>
        </w:rPr>
        <w:t>带来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巨大经济损失。世界银行预测，到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2050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年抗菌素耐药性可能导致额外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val="en-US" w:eastAsia="zh-CN"/>
          <w14:ligatures w14:val="none"/>
        </w:rPr>
        <w:t>的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1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万亿美元医疗支出，并可能在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2030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年之前每年造成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1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万亿至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3.4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万亿美元的国内生产总值（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val="en-US" w:eastAsia="zh-CN"/>
          <w14:ligatures w14:val="none"/>
        </w:rPr>
        <w:t>GDP</w:t>
      </w:r>
      <w:r>
        <w:rPr>
          <w:rFonts w:ascii="Times New Roman" w:eastAsia="FangSong" w:hAnsi="Times New Roman" w:cs="Noto Sans" w:hint="eastAsia"/>
          <w:color w:val="3C4245"/>
          <w:kern w:val="0"/>
          <w:sz w:val="24"/>
          <w:szCs w:val="24"/>
          <w:lang w:eastAsia="zh-CN"/>
          <w14:ligatures w14:val="none"/>
        </w:rPr>
        <w:t>）损失。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zh-CN"/>
          <w14:ligatures w14:val="none"/>
        </w:rPr>
        <w:t> </w:t>
      </w:r>
      <w:r>
        <w:rPr>
          <w:rFonts w:ascii="Times New Roman" w:eastAsia="FangSong" w:hAnsi="Times New Roman" w:cs="Noto Sans"/>
          <w:color w:val="3C4245"/>
          <w:kern w:val="0"/>
          <w:sz w:val="24"/>
          <w:szCs w:val="24"/>
          <w:lang w:eastAsia="en-AU"/>
          <w14:ligatures w14:val="none"/>
        </w:rPr>
        <w:t>(WHO 2025)</w:t>
      </w:r>
    </w:p>
    <w:p w14:paraId="0CCD492D" w14:textId="77777777" w:rsidR="00B831D3" w:rsidRDefault="00AC22F7">
      <w:pPr>
        <w:pStyle w:val="ListParagraph"/>
        <w:numPr>
          <w:ilvl w:val="0"/>
          <w:numId w:val="1"/>
        </w:numPr>
        <w:spacing w:after="120" w:line="240" w:lineRule="auto"/>
        <w:rPr>
          <w:rFonts w:ascii="Times New Roman" w:eastAsia="FangSong" w:hAnsi="Times New Roman"/>
          <w:sz w:val="24"/>
          <w:szCs w:val="24"/>
          <w:lang w:val="en-US"/>
        </w:rPr>
      </w:pPr>
      <w:r>
        <w:rPr>
          <w:rFonts w:ascii="Times New Roman" w:eastAsia="FangSong" w:hAnsi="Times New Roman"/>
          <w:sz w:val="24"/>
          <w:szCs w:val="24"/>
          <w:lang w:eastAsia="zh-CN"/>
        </w:rPr>
        <w:lastRenderedPageBreak/>
        <w:t>根据美国疾病预防控制中心与犹他大学医学院专家估算，因防治抗菌素耐药性，美</w:t>
      </w:r>
      <w:r>
        <w:rPr>
          <w:rFonts w:ascii="Times New Roman" w:eastAsia="FangSong" w:hAnsi="Times New Roman" w:hint="eastAsia"/>
          <w:sz w:val="24"/>
          <w:szCs w:val="24"/>
          <w:lang w:val="en-US" w:eastAsia="zh-CN"/>
        </w:rPr>
        <w:t>国</w:t>
      </w:r>
      <w:r>
        <w:rPr>
          <w:rFonts w:ascii="Times New Roman" w:eastAsia="FangSong" w:hAnsi="Times New Roman"/>
          <w:sz w:val="24"/>
          <w:szCs w:val="24"/>
          <w:lang w:eastAsia="zh-CN"/>
        </w:rPr>
        <w:t>每年产生的医疗支出超过</w:t>
      </w:r>
      <w:r>
        <w:rPr>
          <w:rFonts w:ascii="Times New Roman" w:eastAsia="FangSong" w:hAnsi="Times New Roman"/>
          <w:sz w:val="24"/>
          <w:szCs w:val="24"/>
          <w:lang w:eastAsia="zh-CN"/>
        </w:rPr>
        <w:t>46</w:t>
      </w:r>
      <w:r>
        <w:rPr>
          <w:rFonts w:ascii="Times New Roman" w:eastAsia="FangSong" w:hAnsi="Times New Roman"/>
          <w:sz w:val="24"/>
          <w:szCs w:val="24"/>
          <w:lang w:eastAsia="zh-CN"/>
        </w:rPr>
        <w:t>亿美元</w:t>
      </w:r>
      <w:r>
        <w:rPr>
          <w:rFonts w:ascii="Times New Roman" w:eastAsia="FangSong" w:hAnsi="Times New Roman" w:hint="eastAsia"/>
          <w:sz w:val="24"/>
          <w:szCs w:val="24"/>
          <w:lang w:eastAsia="zh-CN"/>
        </w:rPr>
        <w:t>。</w:t>
      </w:r>
      <w:r>
        <w:rPr>
          <w:rFonts w:ascii="Times New Roman" w:eastAsia="FangSong" w:hAnsi="Times New Roman"/>
          <w:sz w:val="24"/>
          <w:szCs w:val="24"/>
          <w:lang w:eastAsia="zh-CN"/>
        </w:rPr>
        <w:t xml:space="preserve"> </w:t>
      </w:r>
      <w:r>
        <w:rPr>
          <w:rFonts w:ascii="Times New Roman" w:eastAsia="FangSong" w:hAnsi="Times New Roman"/>
          <w:sz w:val="24"/>
          <w:szCs w:val="24"/>
        </w:rPr>
        <w:t>(WHO 2024)</w:t>
      </w:r>
    </w:p>
    <w:p w14:paraId="3A7CF301" w14:textId="77777777" w:rsidR="00B831D3" w:rsidRDefault="00AC22F7">
      <w:pPr>
        <w:pStyle w:val="gmail-"/>
        <w:numPr>
          <w:ilvl w:val="0"/>
          <w:numId w:val="1"/>
        </w:numPr>
        <w:spacing w:after="120" w:afterAutospacing="0"/>
        <w:rPr>
          <w:rFonts w:ascii="Times New Roman" w:eastAsia="FangSong" w:hAnsi="Times New Roman"/>
        </w:rPr>
      </w:pPr>
      <w:r>
        <w:rPr>
          <w:rFonts w:ascii="Times New Roman" w:eastAsia="FangSong" w:hAnsi="Times New Roman"/>
          <w:lang w:eastAsia="zh-CN"/>
        </w:rPr>
        <w:t>合理用药</w:t>
      </w:r>
      <w:r>
        <w:rPr>
          <w:rFonts w:ascii="Times New Roman" w:eastAsia="FangSong" w:hAnsi="Times New Roman" w:hint="eastAsia"/>
          <w:lang w:val="en-US" w:eastAsia="zh-CN"/>
        </w:rPr>
        <w:t>包括</w:t>
      </w:r>
      <w:r>
        <w:rPr>
          <w:rFonts w:ascii="Times New Roman" w:eastAsia="FangSong" w:hAnsi="Times New Roman"/>
          <w:lang w:eastAsia="zh-CN"/>
        </w:rPr>
        <w:t>患者普及规范用药知识，强调完成整个处方疗程的重要性以及严格遵循剂量说明的必要性。通过提升患者的用药认知水平，不仅能有效增强其用药依从性，更能增强</w:t>
      </w:r>
      <w:r>
        <w:rPr>
          <w:rFonts w:ascii="Times New Roman" w:eastAsia="FangSong" w:hAnsi="Times New Roman" w:hint="eastAsia"/>
          <w:lang w:val="en-US" w:eastAsia="zh-CN"/>
        </w:rPr>
        <w:t>患者</w:t>
      </w:r>
      <w:r>
        <w:rPr>
          <w:rFonts w:ascii="Times New Roman" w:eastAsia="FangSong" w:hAnsi="Times New Roman"/>
          <w:lang w:eastAsia="zh-CN"/>
        </w:rPr>
        <w:t>对自身健康管理的理解，这种知识赋能的模式将直接转化为公共卫生效益的整体提升</w:t>
      </w:r>
      <w:r>
        <w:rPr>
          <w:rFonts w:ascii="Times New Roman" w:eastAsia="FangSong" w:hAnsi="Times New Roman" w:hint="eastAsia"/>
          <w:lang w:eastAsia="zh-CN"/>
        </w:rPr>
        <w:t>。</w:t>
      </w:r>
      <w:r>
        <w:rPr>
          <w:rFonts w:ascii="Times New Roman" w:eastAsia="FangSong" w:hAnsi="Times New Roman"/>
          <w:lang w:eastAsia="zh-CN"/>
        </w:rPr>
        <w:t xml:space="preserve"> </w:t>
      </w:r>
      <w:r>
        <w:rPr>
          <w:rFonts w:ascii="Times New Roman" w:eastAsia="FangSong" w:hAnsi="Times New Roman"/>
        </w:rPr>
        <w:t xml:space="preserve">(WHO 2017) </w:t>
      </w:r>
    </w:p>
    <w:p w14:paraId="668334EB" w14:textId="77777777" w:rsidR="00B831D3" w:rsidRDefault="00B831D3">
      <w:pPr>
        <w:pStyle w:val="ListParagraph"/>
        <w:spacing w:after="120" w:line="240" w:lineRule="auto"/>
        <w:rPr>
          <w:rFonts w:ascii="Times New Roman" w:eastAsia="FangSong" w:hAnsi="Times New Roman"/>
          <w:sz w:val="24"/>
          <w:szCs w:val="24"/>
          <w:lang w:val="en-US"/>
        </w:rPr>
      </w:pPr>
    </w:p>
    <w:sectPr w:rsidR="00B831D3" w:rsidSect="00F21FDE">
      <w:pgSz w:w="11906" w:h="16838"/>
      <w:pgMar w:top="900" w:right="1440" w:bottom="99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B59A0" w14:textId="77777777" w:rsidR="00207171" w:rsidRDefault="00207171">
      <w:pPr>
        <w:spacing w:line="240" w:lineRule="auto"/>
      </w:pPr>
      <w:r>
        <w:separator/>
      </w:r>
    </w:p>
  </w:endnote>
  <w:endnote w:type="continuationSeparator" w:id="0">
    <w:p w14:paraId="7166BCE2" w14:textId="77777777" w:rsidR="00207171" w:rsidRDefault="002071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26929" w14:textId="77777777" w:rsidR="00207171" w:rsidRDefault="00207171">
      <w:pPr>
        <w:spacing w:after="0"/>
      </w:pPr>
      <w:r>
        <w:separator/>
      </w:r>
    </w:p>
  </w:footnote>
  <w:footnote w:type="continuationSeparator" w:id="0">
    <w:p w14:paraId="5C7DADBA" w14:textId="77777777" w:rsidR="00207171" w:rsidRDefault="0020717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DD508D"/>
    <w:multiLevelType w:val="multilevel"/>
    <w:tmpl w:val="76DD508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82865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2EAA"/>
    <w:rsid w:val="000440FA"/>
    <w:rsid w:val="00131EE7"/>
    <w:rsid w:val="00134A76"/>
    <w:rsid w:val="001777C5"/>
    <w:rsid w:val="001829A0"/>
    <w:rsid w:val="001B1488"/>
    <w:rsid w:val="001E1C67"/>
    <w:rsid w:val="00207171"/>
    <w:rsid w:val="002569B4"/>
    <w:rsid w:val="002F1390"/>
    <w:rsid w:val="00311E18"/>
    <w:rsid w:val="00326144"/>
    <w:rsid w:val="00372211"/>
    <w:rsid w:val="00400E06"/>
    <w:rsid w:val="004474F0"/>
    <w:rsid w:val="00452AEE"/>
    <w:rsid w:val="004E77E7"/>
    <w:rsid w:val="00562EAA"/>
    <w:rsid w:val="005B4D26"/>
    <w:rsid w:val="005D2AD1"/>
    <w:rsid w:val="005D5BB0"/>
    <w:rsid w:val="005E3BBA"/>
    <w:rsid w:val="005F08B0"/>
    <w:rsid w:val="0081092A"/>
    <w:rsid w:val="00825298"/>
    <w:rsid w:val="008442B7"/>
    <w:rsid w:val="00852E87"/>
    <w:rsid w:val="00873E1B"/>
    <w:rsid w:val="008C4F5D"/>
    <w:rsid w:val="008E6BA4"/>
    <w:rsid w:val="0092063A"/>
    <w:rsid w:val="00923EAA"/>
    <w:rsid w:val="00933F6D"/>
    <w:rsid w:val="0098376D"/>
    <w:rsid w:val="009D7E8A"/>
    <w:rsid w:val="009F569F"/>
    <w:rsid w:val="00A22FCB"/>
    <w:rsid w:val="00A25455"/>
    <w:rsid w:val="00A310F1"/>
    <w:rsid w:val="00AB12FA"/>
    <w:rsid w:val="00AC22F7"/>
    <w:rsid w:val="00B03270"/>
    <w:rsid w:val="00B35A56"/>
    <w:rsid w:val="00B831D3"/>
    <w:rsid w:val="00BF7F28"/>
    <w:rsid w:val="00C21B57"/>
    <w:rsid w:val="00C67FEC"/>
    <w:rsid w:val="00D42A14"/>
    <w:rsid w:val="00E21C43"/>
    <w:rsid w:val="00E742BC"/>
    <w:rsid w:val="00F01EF5"/>
    <w:rsid w:val="00F147D4"/>
    <w:rsid w:val="00F21FDE"/>
    <w:rsid w:val="00F36F78"/>
    <w:rsid w:val="00F92329"/>
    <w:rsid w:val="00FC72C6"/>
    <w:rsid w:val="0FAE40DB"/>
    <w:rsid w:val="300761B5"/>
    <w:rsid w:val="33F702EF"/>
    <w:rsid w:val="383A6405"/>
    <w:rsid w:val="4EA50C1B"/>
    <w:rsid w:val="72A06156"/>
    <w:rsid w:val="78575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47B6E"/>
  <w15:docId w15:val="{CE6A0D5B-82B8-4D41-A374-44DFB8DAA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val="en-AU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Pr>
      <w:sz w:val="24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gmail-">
    <w:name w:val="gmail-"/>
    <w:basedOn w:val="Normal"/>
    <w:qFormat/>
    <w:pPr>
      <w:spacing w:before="100" w:beforeAutospacing="1" w:after="100" w:afterAutospacing="1" w:line="240" w:lineRule="auto"/>
    </w:pPr>
    <w:rPr>
      <w:rFonts w:ascii="Aptos" w:hAnsi="Aptos" w:cs="Aptos"/>
      <w:kern w:val="0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855</Characters>
  <Application>Microsoft Office Word</Application>
  <DocSecurity>4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 Weekes</dc:creator>
  <cp:lastModifiedBy>Lynn Weekes</cp:lastModifiedBy>
  <cp:revision>2</cp:revision>
  <dcterms:created xsi:type="dcterms:W3CDTF">2025-05-20T06:46:00Z</dcterms:created>
  <dcterms:modified xsi:type="dcterms:W3CDTF">2025-05-20T06:46:00Z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eyJoZGlkIjoiMjRjN2Q3MzNlM2EyMjZkZjI3ZTlmZmE0YmM2YTRjODAiLCJ1c2VySWQiOiIxMTUwMTg5MjAwIn0=</vt:lpwstr>
  </property>
  <property fmtid="{D5CDD505-2E9C-101B-9397-08002B2CF9AE}" pid="3" name="KSOProductBuildVer">
    <vt:lpwstr>2052-12.1.0.20784</vt:lpwstr>
  </property>
  <property fmtid="{D5CDD505-2E9C-101B-9397-08002B2CF9AE}" pid="4" name="ICV">
    <vt:lpwstr>0141D6D3802A4D25A863F65931A0B7CB_13</vt:lpwstr>
  </property>
</Properties>
</file>