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D6B1" w14:textId="77777777" w:rsidR="00E9545C" w:rsidRPr="00E9545C" w:rsidRDefault="00E9545C" w:rsidP="00E9545C">
      <w:pPr>
        <w:jc w:val="center"/>
      </w:pPr>
      <w:r w:rsidRPr="00E9545C">
        <w:rPr>
          <w:lang w:val="fr-FR"/>
        </w:rPr>
        <w:t>Journée internationale de l'usage rationnel des médicaments. 8 juillet</w:t>
      </w:r>
    </w:p>
    <w:p w14:paraId="7D163C77" w14:textId="7546298E" w:rsidR="00506BFC" w:rsidRDefault="00E9545C" w:rsidP="00E9545C">
      <w:pPr>
        <w:jc w:val="center"/>
      </w:pPr>
      <w:r>
        <w:t>LES FAITS</w:t>
      </w:r>
    </w:p>
    <w:p w14:paraId="1D76E544" w14:textId="77777777" w:rsidR="00E9545C" w:rsidRDefault="00E9545C" w:rsidP="00390C7C">
      <w:pPr>
        <w:rPr>
          <w:lang w:val="fr-FR"/>
        </w:rPr>
      </w:pPr>
    </w:p>
    <w:p w14:paraId="13C81E77" w14:textId="3EB0BE07" w:rsidR="00390C7C" w:rsidRPr="00390C7C" w:rsidRDefault="00390C7C" w:rsidP="00390C7C">
      <w:pPr>
        <w:rPr>
          <w:lang w:val="fr-FR"/>
        </w:rPr>
      </w:pPr>
      <w:r w:rsidRPr="00390C7C">
        <w:rPr>
          <w:lang w:val="fr-FR"/>
        </w:rPr>
        <w:t>1. L’Organisation mondiale de la Santé (OMS) et d’autres organismes internationaux insistent sur l’importance de l’usage rationnel des médicaments comme pierre angulaire des stratégies de santé mondiale, notamment des Objectifs de développement durable (ODD). Il s’agit d’un soutien essentiel à la couverture sanitaire universelle et à la réduction des maladies évitables. (Organisation mondiale de la Santé, 2015)</w:t>
      </w:r>
    </w:p>
    <w:p w14:paraId="7F457C31" w14:textId="77777777" w:rsidR="00390C7C" w:rsidRPr="00390C7C" w:rsidRDefault="00390C7C" w:rsidP="00390C7C">
      <w:pPr>
        <w:rPr>
          <w:lang w:val="fr-FR"/>
        </w:rPr>
      </w:pPr>
    </w:p>
    <w:p w14:paraId="27BA5026" w14:textId="77777777" w:rsidR="00390C7C" w:rsidRPr="00390C7C" w:rsidRDefault="00390C7C" w:rsidP="00390C7C">
      <w:pPr>
        <w:rPr>
          <w:lang w:val="fr-FR"/>
        </w:rPr>
      </w:pPr>
      <w:r w:rsidRPr="00390C7C">
        <w:rPr>
          <w:lang w:val="fr-FR"/>
        </w:rPr>
        <w:t>2. Dans les pays en développement, les médicaments représentent 20 à 60 % des dépenses de santé. Jusqu’à 90 % de la population les achète de sa poche, ce qui en fait le poste de dépense le plus important pour les ménages après l’alimentation. Les médicaments constituent donc une dépense majeure pour les individus et les pays. Il est essentiel d’optimiser ces dépenses. L’usage rationnel des médicaments y contribue.</w:t>
      </w:r>
    </w:p>
    <w:p w14:paraId="31A18E75" w14:textId="77777777" w:rsidR="00390C7C" w:rsidRPr="00390C7C" w:rsidRDefault="00390C7C" w:rsidP="00390C7C">
      <w:pPr>
        <w:rPr>
          <w:lang w:val="fr-FR"/>
        </w:rPr>
      </w:pPr>
    </w:p>
    <w:p w14:paraId="1DE2F161" w14:textId="77777777" w:rsidR="00390C7C" w:rsidRPr="00390C7C" w:rsidRDefault="00390C7C" w:rsidP="00390C7C">
      <w:pPr>
        <w:rPr>
          <w:lang w:val="fr-FR"/>
        </w:rPr>
      </w:pPr>
      <w:r w:rsidRPr="00390C7C">
        <w:rPr>
          <w:lang w:val="fr-FR"/>
        </w:rPr>
        <w:t>3. Plus de 500 milliards de dollars américains pourraient être économisés chaque année grâce à un usage plus approprié des médicaments dans le monde (IMS, 2012).</w:t>
      </w:r>
    </w:p>
    <w:p w14:paraId="2652C5AB" w14:textId="77777777" w:rsidR="00390C7C" w:rsidRPr="00390C7C" w:rsidRDefault="00390C7C" w:rsidP="00390C7C">
      <w:pPr>
        <w:rPr>
          <w:lang w:val="fr-FR"/>
        </w:rPr>
      </w:pPr>
    </w:p>
    <w:p w14:paraId="50760A23" w14:textId="77777777" w:rsidR="00390C7C" w:rsidRPr="00390C7C" w:rsidRDefault="00390C7C" w:rsidP="00390C7C">
      <w:pPr>
        <w:rPr>
          <w:lang w:val="fr-FR"/>
        </w:rPr>
      </w:pPr>
      <w:r w:rsidRPr="00390C7C">
        <w:rPr>
          <w:lang w:val="fr-FR"/>
        </w:rPr>
        <w:t>4. Les effets indésirables des médicaments sont trop fréquents dans tous les contextes de soins de santé à travers le monde. Des effets indésirables évitables, attribuables à l’utilisation de médicaments, ont été constatés chez 7 % des patients des pays à revenu faible ou intermédiaire et chez 4 % des patients des pays à revenu élevé. Les taux les plus élevés ont été observés en Afrique et en Asie du Sud-Est (9 %). (OMS 2024)</w:t>
      </w:r>
    </w:p>
    <w:p w14:paraId="5B6FB276" w14:textId="77777777" w:rsidR="00390C7C" w:rsidRPr="00390C7C" w:rsidRDefault="00390C7C" w:rsidP="00390C7C">
      <w:pPr>
        <w:rPr>
          <w:lang w:val="fr-FR"/>
        </w:rPr>
      </w:pPr>
    </w:p>
    <w:p w14:paraId="671E3939" w14:textId="77777777" w:rsidR="00390C7C" w:rsidRPr="00390C7C" w:rsidRDefault="00390C7C" w:rsidP="00390C7C">
      <w:pPr>
        <w:rPr>
          <w:lang w:val="fr-FR"/>
        </w:rPr>
      </w:pPr>
      <w:r w:rsidRPr="00390C7C">
        <w:rPr>
          <w:lang w:val="fr-FR"/>
        </w:rPr>
        <w:t>5. Un quart des effets indésirables liés aux médicaments sont évitables et graves, voire potentiellement mortels.</w:t>
      </w:r>
    </w:p>
    <w:p w14:paraId="0D86302E" w14:textId="77777777" w:rsidR="00390C7C" w:rsidRPr="00390C7C" w:rsidRDefault="00390C7C" w:rsidP="00390C7C">
      <w:pPr>
        <w:rPr>
          <w:lang w:val="fr-FR"/>
        </w:rPr>
      </w:pPr>
    </w:p>
    <w:p w14:paraId="6FF2FA79" w14:textId="77777777" w:rsidR="00390C7C" w:rsidRPr="00390C7C" w:rsidRDefault="00390C7C" w:rsidP="00390C7C">
      <w:r w:rsidRPr="00390C7C">
        <w:rPr>
          <w:lang w:val="fr-FR"/>
        </w:rPr>
        <w:t>6. Les problèmes courants sont : l’utilisation inappropriée des antimicrobiens, entraînant une résistance aux antimicrobiens ; l’utilisation sous-optimale des médicaments génériques ; la mauvaise gestion des polymédications ; le retard ou la sous-utilisation des médicaments pour les maladies chroniques ; et le non-respect de la posologie par les patients.</w:t>
      </w:r>
    </w:p>
    <w:p w14:paraId="0ACAC459" w14:textId="77777777" w:rsidR="00390C7C" w:rsidRPr="00390C7C" w:rsidRDefault="00390C7C" w:rsidP="00390C7C">
      <w:pPr>
        <w:rPr>
          <w:lang w:val="fr-FR"/>
        </w:rPr>
      </w:pPr>
      <w:r w:rsidRPr="00390C7C">
        <w:rPr>
          <w:lang w:val="fr-FR"/>
        </w:rPr>
        <w:lastRenderedPageBreak/>
        <w:t>7. Les patients âgés sont plus exposés aux risques d'effets indésirables liés aux médicaments et sont ceux qui se voient le plus souvent prescrire le plus de médicaments.</w:t>
      </w:r>
    </w:p>
    <w:p w14:paraId="1FDB43CE" w14:textId="77777777" w:rsidR="00390C7C" w:rsidRPr="00390C7C" w:rsidRDefault="00390C7C" w:rsidP="00390C7C">
      <w:pPr>
        <w:rPr>
          <w:lang w:val="fr-FR"/>
        </w:rPr>
      </w:pPr>
    </w:p>
    <w:p w14:paraId="39C4F587" w14:textId="77777777" w:rsidR="00390C7C" w:rsidRPr="00390C7C" w:rsidRDefault="00390C7C" w:rsidP="00390C7C">
      <w:pPr>
        <w:rPr>
          <w:lang w:val="fr-FR"/>
        </w:rPr>
      </w:pPr>
      <w:r w:rsidRPr="00390C7C">
        <w:rPr>
          <w:lang w:val="fr-FR"/>
        </w:rPr>
        <w:t>8. Médicaments contribuant le plus aux effets indésirables : antibactériens, antipsychotiques, médicaments cardiovasculaires, médicaments pour les troubles fonctionnels gastro-intestinaux, hormonothérapie, hypnotiques, sédatifs et anti-inflammatoires non stéroïdiens.</w:t>
      </w:r>
    </w:p>
    <w:p w14:paraId="540BFEA7" w14:textId="77777777" w:rsidR="00390C7C" w:rsidRPr="00390C7C" w:rsidRDefault="00390C7C" w:rsidP="00390C7C">
      <w:pPr>
        <w:rPr>
          <w:lang w:val="fr-FR"/>
        </w:rPr>
      </w:pPr>
    </w:p>
    <w:p w14:paraId="6B3538DD" w14:textId="77777777" w:rsidR="00390C7C" w:rsidRPr="00390C7C" w:rsidRDefault="00390C7C" w:rsidP="00390C7C">
      <w:pPr>
        <w:rPr>
          <w:lang w:val="fr-FR"/>
        </w:rPr>
      </w:pPr>
      <w:r w:rsidRPr="00390C7C">
        <w:rPr>
          <w:lang w:val="fr-FR"/>
        </w:rPr>
        <w:t>9. La résistance aux antimicrobiens (RAM) constitue l'une des principales menaces pour la santé publique et le développement à l'échelle mondiale. On estime que la RAM bactérienne a été directement responsable de 1,27 million de décès dans le monde en 2019 et a contribué à 4,95 millions de décès (OMS 2025).</w:t>
      </w:r>
    </w:p>
    <w:p w14:paraId="73D35B36" w14:textId="77777777" w:rsidR="00390C7C" w:rsidRPr="00390C7C" w:rsidRDefault="00390C7C" w:rsidP="00390C7C">
      <w:pPr>
        <w:rPr>
          <w:lang w:val="fr-FR"/>
        </w:rPr>
      </w:pPr>
    </w:p>
    <w:p w14:paraId="0E5F1A3C" w14:textId="77777777" w:rsidR="00390C7C" w:rsidRPr="00390C7C" w:rsidRDefault="00390C7C" w:rsidP="00390C7C">
      <w:pPr>
        <w:rPr>
          <w:lang w:val="fr-FR"/>
        </w:rPr>
      </w:pPr>
      <w:r w:rsidRPr="00390C7C">
        <w:rPr>
          <w:lang w:val="fr-FR"/>
        </w:rPr>
        <w:t>10. Outre les décès et les incapacités, la RAM engendre des coûts économiques considérables. La Banque mondiale estime que la résistance aux antimicrobiens (RAM) pourrait entraîner des coûts de santé supplémentaires de 1 000 milliards de dollars américains d’ici 2050 et des pertes de produit intérieur brut (PIB) annuelles de 1 000 à 3 400 milliards de dollars américains d’ici 2030 (OMS 2025).</w:t>
      </w:r>
    </w:p>
    <w:p w14:paraId="717E2DC3" w14:textId="77777777" w:rsidR="00390C7C" w:rsidRPr="00390C7C" w:rsidRDefault="00390C7C" w:rsidP="00390C7C">
      <w:pPr>
        <w:rPr>
          <w:lang w:val="fr-FR"/>
        </w:rPr>
      </w:pPr>
    </w:p>
    <w:p w14:paraId="10AE7400" w14:textId="77777777" w:rsidR="00390C7C" w:rsidRPr="00390C7C" w:rsidRDefault="00390C7C" w:rsidP="00390C7C">
      <w:pPr>
        <w:rPr>
          <w:lang w:val="fr-FR"/>
        </w:rPr>
      </w:pPr>
      <w:r w:rsidRPr="00390C7C">
        <w:rPr>
          <w:lang w:val="fr-FR"/>
        </w:rPr>
        <w:t>11. Aux États-Unis seulement, les CDC et des experts de la faculté de médecine de l’Université de l’Utah estiment que le traitement des menaces liées à la RAM contribue à des coûts de santé de plus de 4,6 milliards de dollars américains par an (OMS 2024).</w:t>
      </w:r>
    </w:p>
    <w:p w14:paraId="0FA4D5AE" w14:textId="77777777" w:rsidR="00390C7C" w:rsidRPr="00390C7C" w:rsidRDefault="00390C7C" w:rsidP="00390C7C">
      <w:pPr>
        <w:rPr>
          <w:lang w:val="fr-FR"/>
        </w:rPr>
      </w:pPr>
    </w:p>
    <w:p w14:paraId="41A63819" w14:textId="77777777" w:rsidR="00390C7C" w:rsidRDefault="00390C7C" w:rsidP="00390C7C">
      <w:pPr>
        <w:rPr>
          <w:lang w:val="fr-FR"/>
        </w:rPr>
      </w:pPr>
      <w:r w:rsidRPr="00390C7C">
        <w:rPr>
          <w:lang w:val="fr-FR"/>
        </w:rPr>
        <w:t>12. Un usage rationnel des médicaments implique d’informer les patients sur leur bon usage, notamment sur l’importance de suivre un traitement prescrit jusqu’au bout et de respecter la posologie. Donner aux patients les connaissances nécessaires favorise une meilleure observance thérapeutique et une meilleure compréhension de la gestion de leur santé, ce qui a un impact direct sur la santé publique (OMS 2017).</w:t>
      </w:r>
    </w:p>
    <w:p w14:paraId="3D2F5802" w14:textId="77777777" w:rsidR="00486019" w:rsidRDefault="00486019" w:rsidP="00390C7C">
      <w:pPr>
        <w:rPr>
          <w:lang w:val="fr-FR"/>
        </w:rPr>
      </w:pPr>
    </w:p>
    <w:p w14:paraId="0A2FC127" w14:textId="77777777" w:rsidR="00486019" w:rsidRPr="00390C7C" w:rsidRDefault="00486019" w:rsidP="00390C7C"/>
    <w:p w14:paraId="2B202824" w14:textId="0BCF97CB" w:rsidR="00390C7C" w:rsidRDefault="00486019" w:rsidP="00486019">
      <w:r>
        <w:rPr>
          <w:rStyle w:val="FootnoteReference"/>
        </w:rPr>
        <w:footnoteRef/>
      </w:r>
      <w:r>
        <w:t xml:space="preserve"> </w:t>
      </w:r>
      <w:r w:rsidRPr="00B42F83">
        <w:t xml:space="preserve">Murray CJ, Ikuta KS, Sharara F, </w:t>
      </w:r>
      <w:proofErr w:type="spellStart"/>
      <w:r w:rsidRPr="00B42F83">
        <w:t>Swetschinski</w:t>
      </w:r>
      <w:proofErr w:type="spellEnd"/>
      <w:r w:rsidRPr="00B42F83">
        <w:t xml:space="preserve"> L, Aguilar GR, Gray A, et al. Global burden of bacterial antimicrobial resistance in 2019: a systematic analysis. </w:t>
      </w:r>
      <w:r w:rsidRPr="00B42F83">
        <w:rPr>
          <w:i/>
          <w:iCs/>
        </w:rPr>
        <w:t>The Lancet</w:t>
      </w:r>
      <w:r w:rsidRPr="00B42F83">
        <w:t>. 2022;399(10325):629-55</w:t>
      </w:r>
      <w:r>
        <w:t>.</w:t>
      </w:r>
    </w:p>
    <w:sectPr w:rsidR="00390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7C"/>
    <w:rsid w:val="0017038B"/>
    <w:rsid w:val="002B7AA2"/>
    <w:rsid w:val="00390C7C"/>
    <w:rsid w:val="00486019"/>
    <w:rsid w:val="00506BFC"/>
    <w:rsid w:val="00A92288"/>
    <w:rsid w:val="00E9545C"/>
    <w:rsid w:val="00F4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FFC1"/>
  <w15:chartTrackingRefBased/>
  <w15:docId w15:val="{910A3F15-F9DA-46EC-9CB8-6B4749F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C7C"/>
    <w:rPr>
      <w:rFonts w:eastAsiaTheme="majorEastAsia" w:cstheme="majorBidi"/>
      <w:color w:val="272727" w:themeColor="text1" w:themeTint="D8"/>
    </w:rPr>
  </w:style>
  <w:style w:type="paragraph" w:styleId="Title">
    <w:name w:val="Title"/>
    <w:basedOn w:val="Normal"/>
    <w:next w:val="Normal"/>
    <w:link w:val="TitleChar"/>
    <w:uiPriority w:val="10"/>
    <w:qFormat/>
    <w:rsid w:val="00390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C7C"/>
    <w:pPr>
      <w:spacing w:before="160"/>
      <w:jc w:val="center"/>
    </w:pPr>
    <w:rPr>
      <w:i/>
      <w:iCs/>
      <w:color w:val="404040" w:themeColor="text1" w:themeTint="BF"/>
    </w:rPr>
  </w:style>
  <w:style w:type="character" w:customStyle="1" w:styleId="QuoteChar">
    <w:name w:val="Quote Char"/>
    <w:basedOn w:val="DefaultParagraphFont"/>
    <w:link w:val="Quote"/>
    <w:uiPriority w:val="29"/>
    <w:rsid w:val="00390C7C"/>
    <w:rPr>
      <w:i/>
      <w:iCs/>
      <w:color w:val="404040" w:themeColor="text1" w:themeTint="BF"/>
    </w:rPr>
  </w:style>
  <w:style w:type="paragraph" w:styleId="ListParagraph">
    <w:name w:val="List Paragraph"/>
    <w:basedOn w:val="Normal"/>
    <w:uiPriority w:val="34"/>
    <w:qFormat/>
    <w:rsid w:val="00390C7C"/>
    <w:pPr>
      <w:ind w:left="720"/>
      <w:contextualSpacing/>
    </w:pPr>
  </w:style>
  <w:style w:type="character" w:styleId="IntenseEmphasis">
    <w:name w:val="Intense Emphasis"/>
    <w:basedOn w:val="DefaultParagraphFont"/>
    <w:uiPriority w:val="21"/>
    <w:qFormat/>
    <w:rsid w:val="00390C7C"/>
    <w:rPr>
      <w:i/>
      <w:iCs/>
      <w:color w:val="0F4761" w:themeColor="accent1" w:themeShade="BF"/>
    </w:rPr>
  </w:style>
  <w:style w:type="paragraph" w:styleId="IntenseQuote">
    <w:name w:val="Intense Quote"/>
    <w:basedOn w:val="Normal"/>
    <w:next w:val="Normal"/>
    <w:link w:val="IntenseQuoteChar"/>
    <w:uiPriority w:val="30"/>
    <w:qFormat/>
    <w:rsid w:val="0039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C7C"/>
    <w:rPr>
      <w:i/>
      <w:iCs/>
      <w:color w:val="0F4761" w:themeColor="accent1" w:themeShade="BF"/>
    </w:rPr>
  </w:style>
  <w:style w:type="character" w:styleId="IntenseReference">
    <w:name w:val="Intense Reference"/>
    <w:basedOn w:val="DefaultParagraphFont"/>
    <w:uiPriority w:val="32"/>
    <w:qFormat/>
    <w:rsid w:val="00390C7C"/>
    <w:rPr>
      <w:b/>
      <w:bCs/>
      <w:smallCaps/>
      <w:color w:val="0F4761" w:themeColor="accent1" w:themeShade="BF"/>
      <w:spacing w:val="5"/>
    </w:rPr>
  </w:style>
  <w:style w:type="character" w:styleId="FootnoteReference">
    <w:name w:val="footnote reference"/>
    <w:basedOn w:val="DefaultParagraphFont"/>
    <w:uiPriority w:val="99"/>
    <w:semiHidden/>
    <w:unhideWhenUsed/>
    <w:rsid w:val="0048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Vitry</dc:creator>
  <cp:keywords/>
  <dc:description/>
  <cp:lastModifiedBy>Lynn Weekes</cp:lastModifiedBy>
  <cp:revision>2</cp:revision>
  <dcterms:created xsi:type="dcterms:W3CDTF">2026-06-02T01:01:00Z</dcterms:created>
  <dcterms:modified xsi:type="dcterms:W3CDTF">2026-06-02T01:01:00Z</dcterms:modified>
</cp:coreProperties>
</file>